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楷体" w:cs="Times New Roman"/>
          <w:b/>
          <w:color w:val="823C0B"/>
          <w:sz w:val="32"/>
          <w:szCs w:val="32"/>
        </w:rPr>
      </w:pPr>
      <w:bookmarkStart w:id="0" w:name="_top"/>
      <w:bookmarkEnd w:id="0"/>
      <w:r>
        <w:rPr>
          <w:rFonts w:ascii="Times New Roman" w:hAnsi="Times New Roman" w:eastAsia="楷体" w:cs="Times New Roman"/>
          <w:b/>
          <w:color w:val="823C0B"/>
          <w:sz w:val="32"/>
          <w:szCs w:val="32"/>
        </w:rPr>
        <w:t>广州期货早间直通车</w:t>
      </w:r>
    </w:p>
    <w:p>
      <w:pPr>
        <w:jc w:val="right"/>
        <w:rPr>
          <w:rFonts w:ascii="Times New Roman" w:hAnsi="Times New Roman" w:eastAsia="楷体" w:cs="Times New Roman"/>
          <w:b/>
          <w:color w:val="823C0B"/>
          <w:sz w:val="24"/>
        </w:rPr>
      </w:pPr>
    </w:p>
    <w:p>
      <w:pPr>
        <w:jc w:val="center"/>
        <w:rPr>
          <w:rFonts w:ascii="Times New Roman" w:hAnsi="Times New Roman" w:eastAsia="楷体" w:cs="Times New Roman"/>
          <w:b/>
          <w:color w:val="823C0B"/>
          <w:sz w:val="24"/>
        </w:rPr>
      </w:pPr>
      <w:r>
        <w:rPr>
          <w:rFonts w:ascii="Times New Roman" w:hAnsi="Times New Roman" w:eastAsia="楷体" w:cs="Times New Roman"/>
          <w:b/>
          <w:color w:val="823C0B"/>
          <w:sz w:val="24"/>
        </w:rPr>
        <w:t>投资咨询业务资格：证监许可【2012】1497号</w:t>
      </w:r>
    </w:p>
    <w:p>
      <w:pPr>
        <w:jc w:val="center"/>
        <w:rPr>
          <w:rFonts w:ascii="Times New Roman" w:hAnsi="Times New Roman" w:eastAsia="楷体"/>
          <w:b/>
        </w:rPr>
      </w:pPr>
      <w:r>
        <w:rPr>
          <w:rFonts w:hint="eastAsia" w:ascii="Times New Roman" w:hAnsi="Times New Roman" w:eastAsia="楷体"/>
          <w:b/>
          <w:color w:val="823C0B"/>
          <w:sz w:val="30"/>
          <w:szCs w:val="30"/>
        </w:rPr>
        <w:t>评论品种一览</w:t>
      </w:r>
    </w:p>
    <w:sdt>
      <w:sdtPr>
        <w:rPr>
          <w:rFonts w:eastAsia="宋体" w:asciiTheme="minorHAnsi" w:hAnsiTheme="minorHAnsi" w:cstheme="minorBidi"/>
          <w:b/>
          <w:bCs/>
          <w:color w:val="auto"/>
          <w:kern w:val="2"/>
          <w:sz w:val="21"/>
          <w:szCs w:val="21"/>
          <w:lang w:val="zh-CN"/>
        </w:rPr>
        <w:id w:val="1355533930"/>
        <w:docPartObj>
          <w:docPartGallery w:val="Table of Contents"/>
          <w:docPartUnique/>
        </w:docPartObj>
      </w:sdtPr>
      <w:sdtEndPr>
        <w:rPr>
          <w:rFonts w:eastAsia="宋体" w:asciiTheme="minorHAnsi" w:hAnsiTheme="minorHAnsi" w:cstheme="minorBidi"/>
          <w:b/>
          <w:bCs/>
          <w:color w:val="auto"/>
          <w:kern w:val="2"/>
          <w:sz w:val="21"/>
          <w:szCs w:val="21"/>
          <w:lang w:val="zh-CN"/>
        </w:rPr>
      </w:sdtEndPr>
      <w:sdtContent>
        <w:p>
          <w:pPr>
            <w:pStyle w:val="98"/>
            <w:rPr>
              <w:b/>
              <w:bCs/>
            </w:rPr>
          </w:pPr>
          <w:bookmarkStart w:id="52" w:name="_GoBack"/>
          <w:bookmarkEnd w:id="52"/>
        </w:p>
        <w:p>
          <w:pPr>
            <w:pStyle w:val="59"/>
            <w:tabs>
              <w:tab w:val="right" w:leader="dot" w:pos="8306"/>
            </w:tabs>
          </w:pPr>
          <w:r>
            <w:rPr>
              <w:b/>
              <w:bCs/>
            </w:rPr>
            <w:fldChar w:fldCharType="begin"/>
          </w:r>
          <w:r>
            <w:rPr>
              <w:b/>
              <w:bCs/>
            </w:rPr>
            <w:instrText xml:space="preserve"> TOC \o "1-3" \n \h \z \u </w:instrText>
          </w:r>
          <w:r>
            <w:rPr>
              <w:b/>
              <w:bCs/>
            </w:rPr>
            <w:fldChar w:fldCharType="separate"/>
          </w:r>
          <w:r>
            <w:rPr>
              <w:bCs/>
            </w:rPr>
            <w:fldChar w:fldCharType="begin"/>
          </w:r>
          <w:r>
            <w:rPr>
              <w:bCs/>
            </w:rPr>
            <w:instrText xml:space="preserve"> HYPERLINK \l _Toc27714 </w:instrText>
          </w:r>
          <w:r>
            <w:rPr>
              <w:bCs/>
            </w:rPr>
            <w:fldChar w:fldCharType="separate"/>
          </w:r>
          <w:r>
            <w:rPr>
              <w:rFonts w:hint="eastAsia" w:ascii="Times New Roman" w:hAnsi="Times New Roman" w:eastAsia="楷体"/>
              <w:szCs w:val="30"/>
            </w:rPr>
            <w:t>[金融]</w:t>
          </w:r>
          <w:r>
            <w:rPr>
              <w:bCs/>
            </w:rPr>
            <w:fldChar w:fldCharType="end"/>
          </w:r>
        </w:p>
        <w:p>
          <w:pPr>
            <w:pStyle w:val="74"/>
            <w:tabs>
              <w:tab w:val="right" w:leader="dot" w:pos="8306"/>
            </w:tabs>
          </w:pPr>
          <w:r>
            <w:rPr>
              <w:bCs/>
            </w:rPr>
            <w:fldChar w:fldCharType="begin"/>
          </w:r>
          <w:r>
            <w:rPr>
              <w:bCs/>
            </w:rPr>
            <w:instrText xml:space="preserve"> HYPERLINK \l _Toc6821 </w:instrText>
          </w:r>
          <w:r>
            <w:rPr>
              <w:bCs/>
            </w:rPr>
            <w:fldChar w:fldCharType="separate"/>
          </w:r>
          <w:r>
            <w:rPr>
              <w:rFonts w:hint="eastAsia" w:ascii="Times New Roman" w:hAnsi="Times New Roman" w:eastAsia="楷体"/>
              <w:szCs w:val="24"/>
            </w:rPr>
            <w:t>股指：观望为主，待市场情绪回归平稳</w:t>
          </w:r>
          <w:r>
            <w:rPr>
              <w:bCs/>
            </w:rPr>
            <w:fldChar w:fldCharType="end"/>
          </w:r>
        </w:p>
        <w:p>
          <w:pPr>
            <w:pStyle w:val="59"/>
            <w:tabs>
              <w:tab w:val="right" w:leader="dot" w:pos="8306"/>
            </w:tabs>
          </w:pPr>
          <w:r>
            <w:rPr>
              <w:bCs/>
            </w:rPr>
            <w:fldChar w:fldCharType="begin"/>
          </w:r>
          <w:r>
            <w:rPr>
              <w:bCs/>
            </w:rPr>
            <w:instrText xml:space="preserve"> HYPERLINK \l _Toc20006 </w:instrText>
          </w:r>
          <w:r>
            <w:rPr>
              <w:bCs/>
            </w:rPr>
            <w:fldChar w:fldCharType="separate"/>
          </w:r>
          <w:r>
            <w:rPr>
              <w:rFonts w:hint="eastAsia" w:ascii="Times New Roman" w:hAnsi="Times New Roman" w:eastAsia="楷体"/>
              <w:szCs w:val="30"/>
            </w:rPr>
            <w:t>[贵金属]</w:t>
          </w:r>
          <w:r>
            <w:rPr>
              <w:bCs/>
            </w:rPr>
            <w:fldChar w:fldCharType="end"/>
          </w:r>
        </w:p>
        <w:p>
          <w:pPr>
            <w:pStyle w:val="74"/>
            <w:tabs>
              <w:tab w:val="right" w:leader="dot" w:pos="8306"/>
            </w:tabs>
          </w:pPr>
          <w:r>
            <w:rPr>
              <w:bCs/>
            </w:rPr>
            <w:fldChar w:fldCharType="begin"/>
          </w:r>
          <w:r>
            <w:rPr>
              <w:bCs/>
            </w:rPr>
            <w:instrText xml:space="preserve"> HYPERLINK \l _Toc11415 </w:instrText>
          </w:r>
          <w:r>
            <w:rPr>
              <w:bCs/>
            </w:rPr>
            <w:fldChar w:fldCharType="separate"/>
          </w:r>
          <w:r>
            <w:rPr>
              <w:rFonts w:hint="eastAsia" w:ascii="Times New Roman" w:hAnsi="Times New Roman" w:eastAsia="楷体"/>
              <w:szCs w:val="24"/>
            </w:rPr>
            <w:t>贵金属：避险情绪推动，贵金属价格大幅上涨</w:t>
          </w:r>
          <w:r>
            <w:rPr>
              <w:bCs/>
            </w:rPr>
            <w:fldChar w:fldCharType="end"/>
          </w:r>
        </w:p>
        <w:p>
          <w:pPr>
            <w:pStyle w:val="59"/>
            <w:tabs>
              <w:tab w:val="right" w:leader="dot" w:pos="8306"/>
            </w:tabs>
          </w:pPr>
          <w:r>
            <w:rPr>
              <w:bCs/>
            </w:rPr>
            <w:fldChar w:fldCharType="begin"/>
          </w:r>
          <w:r>
            <w:rPr>
              <w:bCs/>
            </w:rPr>
            <w:instrText xml:space="preserve"> HYPERLINK \l _Toc18321 </w:instrText>
          </w:r>
          <w:r>
            <w:rPr>
              <w:bCs/>
            </w:rPr>
            <w:fldChar w:fldCharType="separate"/>
          </w:r>
          <w:r>
            <w:rPr>
              <w:rFonts w:hint="eastAsia" w:ascii="Times New Roman" w:hAnsi="Times New Roman" w:eastAsia="楷体"/>
              <w:szCs w:val="30"/>
            </w:rPr>
            <w:t>[金属]</w:t>
          </w:r>
          <w:r>
            <w:rPr>
              <w:bCs/>
            </w:rPr>
            <w:fldChar w:fldCharType="end"/>
          </w:r>
        </w:p>
        <w:p>
          <w:pPr>
            <w:pStyle w:val="74"/>
            <w:tabs>
              <w:tab w:val="right" w:leader="dot" w:pos="8306"/>
            </w:tabs>
          </w:pPr>
          <w:r>
            <w:rPr>
              <w:bCs/>
            </w:rPr>
            <w:fldChar w:fldCharType="begin"/>
          </w:r>
          <w:r>
            <w:rPr>
              <w:bCs/>
            </w:rPr>
            <w:instrText xml:space="preserve"> HYPERLINK \l _Toc12336 </w:instrText>
          </w:r>
          <w:r>
            <w:rPr>
              <w:bCs/>
            </w:rPr>
            <w:fldChar w:fldCharType="separate"/>
          </w:r>
          <w:r>
            <w:rPr>
              <w:rFonts w:hint="eastAsia" w:ascii="楷体" w:hAnsi="楷体" w:eastAsia="楷体"/>
              <w:szCs w:val="24"/>
            </w:rPr>
            <w:t>碳酸锂：9月碳酸锂进口量环比微降，期价偏弱震荡</w:t>
          </w:r>
          <w:r>
            <w:rPr>
              <w:bCs/>
            </w:rPr>
            <w:fldChar w:fldCharType="end"/>
          </w:r>
        </w:p>
        <w:p>
          <w:pPr>
            <w:pStyle w:val="74"/>
            <w:tabs>
              <w:tab w:val="right" w:leader="dot" w:pos="8306"/>
            </w:tabs>
          </w:pPr>
          <w:r>
            <w:rPr>
              <w:bCs/>
            </w:rPr>
            <w:fldChar w:fldCharType="begin"/>
          </w:r>
          <w:r>
            <w:rPr>
              <w:bCs/>
            </w:rPr>
            <w:instrText xml:space="preserve"> HYPERLINK \l _Toc29793 </w:instrText>
          </w:r>
          <w:r>
            <w:rPr>
              <w:bCs/>
            </w:rPr>
            <w:fldChar w:fldCharType="separate"/>
          </w:r>
          <w:r>
            <w:rPr>
              <w:rFonts w:hint="eastAsia" w:ascii="楷体" w:hAnsi="楷体" w:eastAsia="楷体"/>
              <w:szCs w:val="24"/>
            </w:rPr>
            <w:t>铝：短期回调盘整运行</w:t>
          </w:r>
          <w:r>
            <w:rPr>
              <w:bCs/>
            </w:rPr>
            <w:fldChar w:fldCharType="end"/>
          </w:r>
        </w:p>
        <w:p>
          <w:pPr>
            <w:pStyle w:val="74"/>
            <w:tabs>
              <w:tab w:val="right" w:leader="dot" w:pos="8306"/>
            </w:tabs>
          </w:pPr>
          <w:r>
            <w:rPr>
              <w:bCs/>
            </w:rPr>
            <w:fldChar w:fldCharType="begin"/>
          </w:r>
          <w:r>
            <w:rPr>
              <w:bCs/>
            </w:rPr>
            <w:instrText xml:space="preserve"> HYPERLINK \l _Toc28048 </w:instrText>
          </w:r>
          <w:r>
            <w:rPr>
              <w:bCs/>
            </w:rPr>
            <w:fldChar w:fldCharType="separate"/>
          </w:r>
          <w:r>
            <w:rPr>
              <w:rFonts w:hint="eastAsia" w:ascii="楷体" w:hAnsi="楷体" w:eastAsia="楷体"/>
              <w:szCs w:val="24"/>
            </w:rPr>
            <w:t>锌：锌价上行空间有限，前高压力依旧有效</w:t>
          </w:r>
          <w:r>
            <w:rPr>
              <w:bCs/>
            </w:rPr>
            <w:fldChar w:fldCharType="end"/>
          </w:r>
        </w:p>
        <w:p>
          <w:pPr>
            <w:pStyle w:val="74"/>
            <w:tabs>
              <w:tab w:val="right" w:leader="dot" w:pos="8306"/>
            </w:tabs>
          </w:pPr>
          <w:r>
            <w:rPr>
              <w:bCs/>
            </w:rPr>
            <w:fldChar w:fldCharType="begin"/>
          </w:r>
          <w:r>
            <w:rPr>
              <w:bCs/>
            </w:rPr>
            <w:instrText xml:space="preserve"> HYPERLINK \l _Toc12524 </w:instrText>
          </w:r>
          <w:r>
            <w:rPr>
              <w:bCs/>
            </w:rPr>
            <w:fldChar w:fldCharType="separate"/>
          </w:r>
          <w:r>
            <w:rPr>
              <w:rFonts w:hint="eastAsia" w:ascii="楷体" w:hAnsi="楷体" w:eastAsia="楷体"/>
              <w:szCs w:val="24"/>
              <w:lang w:val="en-US" w:eastAsia="zh-CN"/>
            </w:rPr>
            <w:t>铜</w:t>
          </w:r>
          <w:r>
            <w:rPr>
              <w:rFonts w:hint="eastAsia" w:ascii="楷体" w:hAnsi="楷体" w:eastAsia="楷体"/>
              <w:szCs w:val="24"/>
            </w:rPr>
            <w:t>：区间震荡</w:t>
          </w:r>
          <w:r>
            <w:rPr>
              <w:bCs/>
            </w:rPr>
            <w:fldChar w:fldCharType="end"/>
          </w:r>
        </w:p>
        <w:p>
          <w:pPr>
            <w:pStyle w:val="74"/>
            <w:tabs>
              <w:tab w:val="right" w:leader="dot" w:pos="8306"/>
            </w:tabs>
          </w:pPr>
          <w:r>
            <w:rPr>
              <w:bCs/>
            </w:rPr>
            <w:fldChar w:fldCharType="begin"/>
          </w:r>
          <w:r>
            <w:rPr>
              <w:bCs/>
            </w:rPr>
            <w:instrText xml:space="preserve"> HYPERLINK \l _Toc6541 </w:instrText>
          </w:r>
          <w:r>
            <w:rPr>
              <w:bCs/>
            </w:rPr>
            <w:fldChar w:fldCharType="separate"/>
          </w:r>
          <w:r>
            <w:rPr>
              <w:rFonts w:hint="eastAsia" w:ascii="楷体" w:hAnsi="楷体" w:eastAsia="楷体"/>
              <w:szCs w:val="24"/>
            </w:rPr>
            <w:t>镍：维持偏空思路</w:t>
          </w:r>
          <w:r>
            <w:rPr>
              <w:bCs/>
            </w:rPr>
            <w:fldChar w:fldCharType="end"/>
          </w:r>
        </w:p>
        <w:p>
          <w:pPr>
            <w:pStyle w:val="74"/>
            <w:tabs>
              <w:tab w:val="right" w:leader="dot" w:pos="8306"/>
            </w:tabs>
          </w:pPr>
          <w:r>
            <w:rPr>
              <w:bCs/>
            </w:rPr>
            <w:fldChar w:fldCharType="begin"/>
          </w:r>
          <w:r>
            <w:rPr>
              <w:bCs/>
            </w:rPr>
            <w:instrText xml:space="preserve"> HYPERLINK \l _Toc18748 </w:instrText>
          </w:r>
          <w:r>
            <w:rPr>
              <w:bCs/>
            </w:rPr>
            <w:fldChar w:fldCharType="separate"/>
          </w:r>
          <w:r>
            <w:rPr>
              <w:rFonts w:hint="eastAsia" w:ascii="楷体" w:hAnsi="楷体" w:eastAsia="楷体"/>
              <w:szCs w:val="24"/>
            </w:rPr>
            <w:t>锡：底部有支撑</w:t>
          </w:r>
          <w:r>
            <w:rPr>
              <w:bCs/>
            </w:rPr>
            <w:fldChar w:fldCharType="end"/>
          </w:r>
        </w:p>
        <w:p>
          <w:pPr>
            <w:pStyle w:val="74"/>
            <w:tabs>
              <w:tab w:val="right" w:leader="dot" w:pos="8306"/>
            </w:tabs>
          </w:pPr>
          <w:r>
            <w:rPr>
              <w:bCs/>
            </w:rPr>
            <w:fldChar w:fldCharType="begin"/>
          </w:r>
          <w:r>
            <w:rPr>
              <w:bCs/>
            </w:rPr>
            <w:instrText xml:space="preserve"> HYPERLINK \l _Toc14440 </w:instrText>
          </w:r>
          <w:r>
            <w:rPr>
              <w:bCs/>
            </w:rPr>
            <w:fldChar w:fldCharType="separate"/>
          </w:r>
          <w:r>
            <w:rPr>
              <w:rFonts w:hint="eastAsia" w:ascii="楷体" w:hAnsi="楷体" w:eastAsia="楷体"/>
              <w:szCs w:val="24"/>
            </w:rPr>
            <w:t>铅：需求难承接供应增量，铅价上方空间有限</w:t>
          </w:r>
          <w:r>
            <w:rPr>
              <w:bCs/>
            </w:rPr>
            <w:fldChar w:fldCharType="end"/>
          </w:r>
        </w:p>
        <w:p>
          <w:pPr>
            <w:pStyle w:val="74"/>
            <w:tabs>
              <w:tab w:val="right" w:leader="dot" w:pos="8306"/>
            </w:tabs>
          </w:pPr>
          <w:r>
            <w:rPr>
              <w:bCs/>
            </w:rPr>
            <w:fldChar w:fldCharType="begin"/>
          </w:r>
          <w:r>
            <w:rPr>
              <w:bCs/>
            </w:rPr>
            <w:instrText xml:space="preserve"> HYPERLINK \l _Toc32614 </w:instrText>
          </w:r>
          <w:r>
            <w:rPr>
              <w:bCs/>
            </w:rPr>
            <w:fldChar w:fldCharType="separate"/>
          </w:r>
          <w:r>
            <w:rPr>
              <w:rFonts w:hint="eastAsia" w:ascii="楷体" w:hAnsi="楷体" w:eastAsia="楷体"/>
              <w:szCs w:val="24"/>
            </w:rPr>
            <w:t>不锈钢：成本支撑但供需仍弱势，区间震荡为主</w:t>
          </w:r>
          <w:r>
            <w:rPr>
              <w:bCs/>
            </w:rPr>
            <w:fldChar w:fldCharType="end"/>
          </w:r>
        </w:p>
        <w:p>
          <w:pPr>
            <w:pStyle w:val="74"/>
            <w:tabs>
              <w:tab w:val="right" w:leader="dot" w:pos="8306"/>
            </w:tabs>
          </w:pPr>
          <w:r>
            <w:rPr>
              <w:bCs/>
            </w:rPr>
            <w:fldChar w:fldCharType="begin"/>
          </w:r>
          <w:r>
            <w:rPr>
              <w:bCs/>
            </w:rPr>
            <w:instrText xml:space="preserve"> HYPERLINK \l _Toc32600 </w:instrText>
          </w:r>
          <w:r>
            <w:rPr>
              <w:bCs/>
            </w:rPr>
            <w:fldChar w:fldCharType="separate"/>
          </w:r>
          <w:r>
            <w:rPr>
              <w:rFonts w:hint="eastAsia" w:ascii="楷体" w:hAnsi="楷体" w:eastAsia="楷体"/>
              <w:szCs w:val="24"/>
            </w:rPr>
            <w:t>工业硅：基本面改善预期有限，关注宏观情绪波动</w:t>
          </w:r>
          <w:r>
            <w:rPr>
              <w:bCs/>
            </w:rPr>
            <w:fldChar w:fldCharType="end"/>
          </w:r>
        </w:p>
        <w:p>
          <w:pPr>
            <w:pStyle w:val="74"/>
            <w:tabs>
              <w:tab w:val="right" w:leader="dot" w:pos="8306"/>
            </w:tabs>
          </w:pPr>
          <w:r>
            <w:rPr>
              <w:bCs/>
            </w:rPr>
            <w:fldChar w:fldCharType="begin"/>
          </w:r>
          <w:r>
            <w:rPr>
              <w:bCs/>
            </w:rPr>
            <w:instrText xml:space="preserve"> HYPERLINK \l _Toc2419 </w:instrText>
          </w:r>
          <w:r>
            <w:rPr>
              <w:bCs/>
            </w:rPr>
            <w:fldChar w:fldCharType="separate"/>
          </w:r>
          <w:r>
            <w:rPr>
              <w:rFonts w:hint="eastAsia" w:ascii="楷体" w:hAnsi="楷体" w:eastAsia="楷体"/>
              <w:szCs w:val="24"/>
            </w:rPr>
            <w:t>螺纹钢：宏观情绪转弱，盘面或震荡偏弱</w:t>
          </w:r>
          <w:r>
            <w:rPr>
              <w:bCs/>
            </w:rPr>
            <w:fldChar w:fldCharType="end"/>
          </w:r>
        </w:p>
        <w:p>
          <w:pPr>
            <w:pStyle w:val="59"/>
            <w:tabs>
              <w:tab w:val="right" w:leader="dot" w:pos="8306"/>
            </w:tabs>
          </w:pPr>
          <w:r>
            <w:rPr>
              <w:bCs/>
            </w:rPr>
            <w:fldChar w:fldCharType="begin"/>
          </w:r>
          <w:r>
            <w:rPr>
              <w:bCs/>
            </w:rPr>
            <w:instrText xml:space="preserve"> HYPERLINK \l _Toc29504 </w:instrText>
          </w:r>
          <w:r>
            <w:rPr>
              <w:bCs/>
            </w:rPr>
            <w:fldChar w:fldCharType="separate"/>
          </w:r>
          <w:r>
            <w:rPr>
              <w:rFonts w:hint="eastAsia" w:ascii="Times New Roman" w:hAnsi="Times New Roman" w:eastAsia="楷体"/>
              <w:szCs w:val="30"/>
            </w:rPr>
            <w:t>[化工]</w:t>
          </w:r>
          <w:r>
            <w:rPr>
              <w:bCs/>
            </w:rPr>
            <w:fldChar w:fldCharType="end"/>
          </w:r>
        </w:p>
        <w:p>
          <w:pPr>
            <w:pStyle w:val="74"/>
            <w:tabs>
              <w:tab w:val="right" w:leader="dot" w:pos="8306"/>
            </w:tabs>
          </w:pPr>
          <w:r>
            <w:rPr>
              <w:bCs/>
            </w:rPr>
            <w:fldChar w:fldCharType="begin"/>
          </w:r>
          <w:r>
            <w:rPr>
              <w:bCs/>
            </w:rPr>
            <w:instrText xml:space="preserve"> HYPERLINK \l _Toc27568 </w:instrText>
          </w:r>
          <w:r>
            <w:rPr>
              <w:bCs/>
            </w:rPr>
            <w:fldChar w:fldCharType="separate"/>
          </w:r>
          <w:r>
            <w:rPr>
              <w:rFonts w:hint="eastAsia" w:ascii="Times New Roman" w:hAnsi="Times New Roman" w:eastAsia="楷体"/>
              <w:szCs w:val="24"/>
            </w:rPr>
            <w:t>天然橡胶:</w:t>
          </w:r>
          <w:r>
            <w:rPr>
              <w:rFonts w:hint="eastAsia" w:ascii="Times New Roman" w:hAnsi="Times New Roman" w:eastAsia="楷体"/>
              <w:szCs w:val="24"/>
              <w:lang w:val="en-US" w:eastAsia="zh-CN"/>
            </w:rPr>
            <w:t xml:space="preserve"> 主产区天气持续转好 天胶成本支撑减弱</w:t>
          </w:r>
          <w:r>
            <w:rPr>
              <w:bCs/>
            </w:rPr>
            <w:fldChar w:fldCharType="end"/>
          </w:r>
        </w:p>
        <w:p>
          <w:pPr>
            <w:pStyle w:val="74"/>
            <w:tabs>
              <w:tab w:val="right" w:leader="dot" w:pos="8306"/>
            </w:tabs>
          </w:pPr>
          <w:r>
            <w:rPr>
              <w:bCs/>
            </w:rPr>
            <w:fldChar w:fldCharType="begin"/>
          </w:r>
          <w:r>
            <w:rPr>
              <w:bCs/>
            </w:rPr>
            <w:instrText xml:space="preserve"> HYPERLINK \l _Toc13900 </w:instrText>
          </w:r>
          <w:r>
            <w:rPr>
              <w:bCs/>
            </w:rPr>
            <w:fldChar w:fldCharType="separate"/>
          </w:r>
          <w:r>
            <w:rPr>
              <w:rFonts w:hint="eastAsia" w:ascii="Times New Roman" w:hAnsi="Times New Roman" w:eastAsia="楷体"/>
              <w:szCs w:val="24"/>
            </w:rPr>
            <w:t>聚烯烃：旺季需求提振有限，聚烯烃随原油波动为主</w:t>
          </w:r>
          <w:r>
            <w:rPr>
              <w:bCs/>
            </w:rPr>
            <w:fldChar w:fldCharType="end"/>
          </w:r>
        </w:p>
        <w:p>
          <w:pPr>
            <w:pStyle w:val="74"/>
            <w:tabs>
              <w:tab w:val="right" w:leader="dot" w:pos="8306"/>
            </w:tabs>
          </w:pPr>
          <w:r>
            <w:rPr>
              <w:bCs/>
            </w:rPr>
            <w:fldChar w:fldCharType="begin"/>
          </w:r>
          <w:r>
            <w:rPr>
              <w:bCs/>
            </w:rPr>
            <w:instrText xml:space="preserve"> HYPERLINK \l _Toc31330 </w:instrText>
          </w:r>
          <w:r>
            <w:rPr>
              <w:bCs/>
            </w:rPr>
            <w:fldChar w:fldCharType="separate"/>
          </w:r>
          <w:r>
            <w:rPr>
              <w:rFonts w:hint="eastAsia" w:ascii="Times New Roman" w:hAnsi="Times New Roman" w:eastAsia="楷体"/>
              <w:szCs w:val="24"/>
            </w:rPr>
            <w:t>原油：飓风Francine助力，原油期货强势反弹</w:t>
          </w:r>
          <w:r>
            <w:rPr>
              <w:bCs/>
            </w:rPr>
            <w:fldChar w:fldCharType="end"/>
          </w:r>
        </w:p>
        <w:p>
          <w:pPr>
            <w:pStyle w:val="74"/>
            <w:tabs>
              <w:tab w:val="right" w:leader="dot" w:pos="8306"/>
            </w:tabs>
          </w:pPr>
          <w:r>
            <w:rPr>
              <w:bCs/>
            </w:rPr>
            <w:fldChar w:fldCharType="begin"/>
          </w:r>
          <w:r>
            <w:rPr>
              <w:bCs/>
            </w:rPr>
            <w:instrText xml:space="preserve"> HYPERLINK \l _Toc17231 </w:instrText>
          </w:r>
          <w:r>
            <w:rPr>
              <w:bCs/>
            </w:rPr>
            <w:fldChar w:fldCharType="separate"/>
          </w:r>
          <w:r>
            <w:rPr>
              <w:rFonts w:hint="eastAsia" w:ascii="Times New Roman" w:hAnsi="Times New Roman" w:eastAsia="楷体"/>
              <w:szCs w:val="24"/>
            </w:rPr>
            <w:t>燃料油及低硫燃料油：燃料油期货夜盘上扬，弱势格局待破局</w:t>
          </w:r>
          <w:r>
            <w:rPr>
              <w:bCs/>
            </w:rPr>
            <w:fldChar w:fldCharType="end"/>
          </w:r>
        </w:p>
        <w:p>
          <w:pPr>
            <w:pStyle w:val="74"/>
            <w:tabs>
              <w:tab w:val="right" w:leader="dot" w:pos="8306"/>
            </w:tabs>
          </w:pPr>
          <w:r>
            <w:rPr>
              <w:bCs/>
            </w:rPr>
            <w:fldChar w:fldCharType="begin"/>
          </w:r>
          <w:r>
            <w:rPr>
              <w:bCs/>
            </w:rPr>
            <w:instrText xml:space="preserve"> HYPERLINK \l _Toc26159 </w:instrText>
          </w:r>
          <w:r>
            <w:rPr>
              <w:bCs/>
            </w:rPr>
            <w:fldChar w:fldCharType="separate"/>
          </w:r>
          <w:r>
            <w:rPr>
              <w:rFonts w:hint="eastAsia" w:ascii="Times New Roman" w:hAnsi="Times New Roman" w:eastAsia="楷体"/>
              <w:szCs w:val="24"/>
            </w:rPr>
            <w:t>沥青：沥青期货价格上扬，弱稳格局待突破</w:t>
          </w:r>
          <w:r>
            <w:rPr>
              <w:bCs/>
            </w:rPr>
            <w:fldChar w:fldCharType="end"/>
          </w:r>
        </w:p>
        <w:p>
          <w:pPr>
            <w:pStyle w:val="74"/>
            <w:tabs>
              <w:tab w:val="right" w:leader="dot" w:pos="8306"/>
            </w:tabs>
          </w:pPr>
          <w:r>
            <w:rPr>
              <w:bCs/>
            </w:rPr>
            <w:fldChar w:fldCharType="begin"/>
          </w:r>
          <w:r>
            <w:rPr>
              <w:bCs/>
            </w:rPr>
            <w:instrText xml:space="preserve"> HYPERLINK \l _Toc3337 </w:instrText>
          </w:r>
          <w:r>
            <w:rPr>
              <w:bCs/>
            </w:rPr>
            <w:fldChar w:fldCharType="separate"/>
          </w:r>
          <w:r>
            <w:rPr>
              <w:rFonts w:hint="eastAsia" w:ascii="Times New Roman" w:hAnsi="Times New Roman" w:eastAsia="楷体"/>
              <w:szCs w:val="24"/>
            </w:rPr>
            <w:t>PTA：跟随宏观及成本端波动</w:t>
          </w:r>
          <w:r>
            <w:rPr>
              <w:bCs/>
            </w:rPr>
            <w:fldChar w:fldCharType="end"/>
          </w:r>
        </w:p>
        <w:p>
          <w:pPr>
            <w:pStyle w:val="74"/>
            <w:tabs>
              <w:tab w:val="right" w:leader="dot" w:pos="8306"/>
            </w:tabs>
          </w:pPr>
          <w:r>
            <w:rPr>
              <w:bCs/>
            </w:rPr>
            <w:fldChar w:fldCharType="begin"/>
          </w:r>
          <w:r>
            <w:rPr>
              <w:bCs/>
            </w:rPr>
            <w:instrText xml:space="preserve"> HYPERLINK \l _Toc4284 </w:instrText>
          </w:r>
          <w:r>
            <w:rPr>
              <w:bCs/>
            </w:rPr>
            <w:fldChar w:fldCharType="separate"/>
          </w:r>
          <w:r>
            <w:rPr>
              <w:rFonts w:hint="eastAsia" w:ascii="Times New Roman" w:hAnsi="Times New Roman" w:eastAsia="楷体"/>
              <w:szCs w:val="24"/>
            </w:rPr>
            <w:t>乙二醇：开工回升叠加库存小累 震荡偏弱</w:t>
          </w:r>
          <w:r>
            <w:rPr>
              <w:bCs/>
            </w:rPr>
            <w:fldChar w:fldCharType="end"/>
          </w:r>
        </w:p>
        <w:p>
          <w:pPr>
            <w:pStyle w:val="59"/>
            <w:tabs>
              <w:tab w:val="right" w:leader="dot" w:pos="8306"/>
            </w:tabs>
          </w:pPr>
          <w:r>
            <w:rPr>
              <w:bCs/>
            </w:rPr>
            <w:fldChar w:fldCharType="begin"/>
          </w:r>
          <w:r>
            <w:rPr>
              <w:bCs/>
            </w:rPr>
            <w:instrText xml:space="preserve"> HYPERLINK \l _Toc26828 </w:instrText>
          </w:r>
          <w:r>
            <w:rPr>
              <w:bCs/>
            </w:rPr>
            <w:fldChar w:fldCharType="separate"/>
          </w:r>
          <w:r>
            <w:rPr>
              <w:rFonts w:hint="eastAsia" w:ascii="Times New Roman" w:hAnsi="Times New Roman" w:eastAsia="楷体"/>
              <w:szCs w:val="30"/>
            </w:rPr>
            <w:t>[农产品]</w:t>
          </w:r>
          <w:r>
            <w:rPr>
              <w:bCs/>
            </w:rPr>
            <w:fldChar w:fldCharType="end"/>
          </w:r>
        </w:p>
        <w:p>
          <w:pPr>
            <w:pStyle w:val="74"/>
            <w:tabs>
              <w:tab w:val="right" w:leader="dot" w:pos="8306"/>
            </w:tabs>
          </w:pPr>
          <w:r>
            <w:rPr>
              <w:bCs/>
            </w:rPr>
            <w:fldChar w:fldCharType="begin"/>
          </w:r>
          <w:r>
            <w:rPr>
              <w:bCs/>
            </w:rPr>
            <w:instrText xml:space="preserve"> HYPERLINK \l _Toc4945 </w:instrText>
          </w:r>
          <w:r>
            <w:rPr>
              <w:bCs/>
            </w:rPr>
            <w:fldChar w:fldCharType="separate"/>
          </w:r>
          <w:r>
            <w:rPr>
              <w:rFonts w:hint="eastAsia" w:ascii="楷体" w:hAnsi="楷体" w:eastAsia="楷体"/>
              <w:bCs/>
            </w:rPr>
            <w:t>玉米与淀粉：</w:t>
          </w:r>
          <w:r>
            <w:rPr>
              <w:rFonts w:hint="eastAsia" w:ascii="楷体" w:hAnsi="楷体" w:eastAsia="楷体"/>
            </w:rPr>
            <w:t>新作压力之下期价继续回落</w:t>
          </w:r>
          <w:r>
            <w:rPr>
              <w:bCs/>
            </w:rPr>
            <w:fldChar w:fldCharType="end"/>
          </w:r>
        </w:p>
        <w:p>
          <w:pPr>
            <w:pStyle w:val="74"/>
            <w:tabs>
              <w:tab w:val="right" w:leader="dot" w:pos="8306"/>
            </w:tabs>
          </w:pPr>
          <w:r>
            <w:rPr>
              <w:bCs/>
            </w:rPr>
            <w:fldChar w:fldCharType="begin"/>
          </w:r>
          <w:r>
            <w:rPr>
              <w:bCs/>
            </w:rPr>
            <w:instrText xml:space="preserve"> HYPERLINK \l _Toc10004 </w:instrText>
          </w:r>
          <w:r>
            <w:rPr>
              <w:bCs/>
            </w:rPr>
            <w:fldChar w:fldCharType="separate"/>
          </w:r>
          <w:r>
            <w:rPr>
              <w:rFonts w:hint="eastAsia" w:ascii="楷体" w:hAnsi="楷体" w:eastAsia="楷体"/>
              <w:bCs/>
            </w:rPr>
            <w:t>畜禽养殖：期价近强远弱分化运行</w:t>
          </w:r>
          <w:r>
            <w:rPr>
              <w:bCs/>
            </w:rPr>
            <w:fldChar w:fldCharType="end"/>
          </w:r>
        </w:p>
        <w:p>
          <w:pPr>
            <w:pStyle w:val="74"/>
            <w:tabs>
              <w:tab w:val="right" w:leader="dot" w:pos="8306"/>
            </w:tabs>
          </w:pPr>
          <w:r>
            <w:rPr>
              <w:bCs/>
            </w:rPr>
            <w:fldChar w:fldCharType="begin"/>
          </w:r>
          <w:r>
            <w:rPr>
              <w:bCs/>
            </w:rPr>
            <w:instrText xml:space="preserve"> HYPERLINK \l _Toc28544 </w:instrText>
          </w:r>
          <w:r>
            <w:rPr>
              <w:bCs/>
            </w:rPr>
            <w:fldChar w:fldCharType="separate"/>
          </w:r>
          <w:r>
            <w:rPr>
              <w:rFonts w:hint="eastAsia" w:ascii="楷体" w:hAnsi="楷体" w:eastAsia="楷体"/>
              <w:bCs/>
            </w:rPr>
            <w:t>白糖：未能突破6000关口，白糖掉头下试</w:t>
          </w:r>
          <w:r>
            <w:rPr>
              <w:bCs/>
            </w:rPr>
            <w:fldChar w:fldCharType="end"/>
          </w:r>
        </w:p>
        <w:p>
          <w:pPr>
            <w:pStyle w:val="74"/>
            <w:tabs>
              <w:tab w:val="right" w:leader="dot" w:pos="8306"/>
            </w:tabs>
          </w:pPr>
          <w:r>
            <w:rPr>
              <w:bCs/>
            </w:rPr>
            <w:fldChar w:fldCharType="begin"/>
          </w:r>
          <w:r>
            <w:rPr>
              <w:bCs/>
            </w:rPr>
            <w:instrText xml:space="preserve"> HYPERLINK \l _Toc4622 </w:instrText>
          </w:r>
          <w:r>
            <w:rPr>
              <w:bCs/>
            </w:rPr>
            <w:fldChar w:fldCharType="separate"/>
          </w:r>
          <w:r>
            <w:rPr>
              <w:rFonts w:hint="eastAsia" w:ascii="楷体" w:hAnsi="楷体" w:eastAsia="楷体"/>
              <w:bCs/>
            </w:rPr>
            <w:t>棉花：预计郑棉区间震荡</w:t>
          </w:r>
          <w:r>
            <w:rPr>
              <w:bCs/>
            </w:rPr>
            <w:fldChar w:fldCharType="end"/>
          </w:r>
        </w:p>
        <w:p>
          <w:pPr>
            <w:pStyle w:val="74"/>
            <w:tabs>
              <w:tab w:val="right" w:leader="dot" w:pos="8306"/>
            </w:tabs>
          </w:pPr>
          <w:r>
            <w:rPr>
              <w:bCs/>
            </w:rPr>
            <w:fldChar w:fldCharType="begin"/>
          </w:r>
          <w:r>
            <w:rPr>
              <w:bCs/>
            </w:rPr>
            <w:instrText xml:space="preserve"> HYPERLINK \l _Toc25122 </w:instrText>
          </w:r>
          <w:r>
            <w:rPr>
              <w:bCs/>
            </w:rPr>
            <w:fldChar w:fldCharType="separate"/>
          </w:r>
          <w:r>
            <w:rPr>
              <w:rFonts w:hint="eastAsia" w:ascii="楷体" w:hAnsi="楷体" w:eastAsia="楷体"/>
              <w:bCs/>
            </w:rPr>
            <w:t>蛋白粕：加方态度缓和，菜系难有支撑</w:t>
          </w:r>
          <w:r>
            <w:rPr>
              <w:bCs/>
            </w:rPr>
            <w:fldChar w:fldCharType="end"/>
          </w:r>
        </w:p>
        <w:p>
          <w:pPr>
            <w:pStyle w:val="74"/>
            <w:tabs>
              <w:tab w:val="right" w:leader="dot" w:pos="8306"/>
            </w:tabs>
          </w:pPr>
          <w:r>
            <w:rPr>
              <w:bCs/>
            </w:rPr>
            <w:fldChar w:fldCharType="begin"/>
          </w:r>
          <w:r>
            <w:rPr>
              <w:bCs/>
            </w:rPr>
            <w:instrText xml:space="preserve"> HYPERLINK \l _Toc2336 </w:instrText>
          </w:r>
          <w:r>
            <w:rPr>
              <w:bCs/>
            </w:rPr>
            <w:fldChar w:fldCharType="separate"/>
          </w:r>
          <w:r>
            <w:rPr>
              <w:rFonts w:hint="eastAsia" w:ascii="楷体" w:hAnsi="楷体" w:eastAsia="楷体"/>
              <w:bCs/>
            </w:rPr>
            <w:t>油脂类：总库存持续去库，棕油价格最为坚挺</w:t>
          </w:r>
          <w:r>
            <w:rPr>
              <w:bCs/>
            </w:rPr>
            <w:fldChar w:fldCharType="end"/>
          </w:r>
        </w:p>
        <w:p>
          <w:pPr>
            <w:pStyle w:val="59"/>
            <w:tabs>
              <w:tab w:val="right" w:leader="dot" w:pos="8306"/>
            </w:tabs>
          </w:pPr>
          <w:r>
            <w:rPr>
              <w:bCs/>
            </w:rPr>
            <w:fldChar w:fldCharType="begin"/>
          </w:r>
          <w:r>
            <w:rPr>
              <w:bCs/>
            </w:rPr>
            <w:instrText xml:space="preserve"> HYPERLINK \l _Toc21289 </w:instrText>
          </w:r>
          <w:r>
            <w:rPr>
              <w:bCs/>
            </w:rPr>
            <w:fldChar w:fldCharType="separate"/>
          </w:r>
          <w:r>
            <w:rPr>
              <w:rFonts w:hint="eastAsia" w:ascii="Times New Roman" w:hAnsi="Times New Roman" w:eastAsia="楷体"/>
              <w:szCs w:val="30"/>
            </w:rPr>
            <w:t>[指数]</w:t>
          </w:r>
          <w:r>
            <w:rPr>
              <w:bCs/>
            </w:rPr>
            <w:fldChar w:fldCharType="end"/>
          </w:r>
        </w:p>
        <w:p>
          <w:pPr>
            <w:pStyle w:val="74"/>
            <w:tabs>
              <w:tab w:val="right" w:leader="dot" w:pos="8306"/>
            </w:tabs>
          </w:pPr>
          <w:r>
            <w:rPr>
              <w:bCs/>
            </w:rPr>
            <w:fldChar w:fldCharType="begin"/>
          </w:r>
          <w:r>
            <w:rPr>
              <w:bCs/>
            </w:rPr>
            <w:instrText xml:space="preserve"> HYPERLINK \l _Toc27122 </w:instrText>
          </w:r>
          <w:r>
            <w:rPr>
              <w:bCs/>
            </w:rPr>
            <w:fldChar w:fldCharType="separate"/>
          </w:r>
          <w:r>
            <w:rPr>
              <w:rFonts w:hint="eastAsia" w:ascii="Times New Roman" w:hAnsi="Times New Roman" w:eastAsia="楷体"/>
              <w:szCs w:val="24"/>
            </w:rPr>
            <w:t>集运指数（欧线）：11月现舱报价基本持平此前宣涨情况，期价大幅上涨</w:t>
          </w:r>
          <w:r>
            <w:rPr>
              <w:bCs/>
            </w:rPr>
            <w:fldChar w:fldCharType="end"/>
          </w:r>
        </w:p>
        <w:p>
          <w:pPr>
            <w:pStyle w:val="59"/>
            <w:tabs>
              <w:tab w:val="right" w:leader="dot" w:pos="8296"/>
            </w:tabs>
            <w:rPr>
              <w:rFonts w:eastAsiaTheme="minorEastAsia"/>
              <w:szCs w:val="22"/>
            </w:rPr>
          </w:pPr>
          <w:r>
            <w:rPr>
              <w:bCs/>
            </w:rPr>
            <w:fldChar w:fldCharType="end"/>
          </w:r>
        </w:p>
      </w:sdtContent>
    </w:sdt>
    <w:p>
      <w:pPr>
        <w:jc w:val="center"/>
        <w:rPr>
          <w:rFonts w:ascii="Times New Roman" w:hAnsi="Times New Roman" w:eastAsia="楷体" w:cs="Times New Roman"/>
          <w:color w:val="823C0B"/>
        </w:rPr>
        <w:sectPr>
          <w:headerReference r:id="rId4" w:type="first"/>
          <w:headerReference r:id="rId3" w:type="default"/>
          <w:footerReference r:id="rId5" w:type="default"/>
          <w:pgSz w:w="11906" w:h="16838"/>
          <w:pgMar w:top="1440" w:right="1800" w:bottom="1440" w:left="1800" w:header="850" w:footer="1077" w:gutter="0"/>
          <w:cols w:space="425" w:num="1"/>
          <w:titlePg/>
          <w:docGrid w:type="lines" w:linePitch="312" w:charSpace="0"/>
        </w:sectPr>
      </w:pPr>
      <w:r>
        <w:rPr>
          <w:rFonts w:hint="eastAsia" w:ascii="Times New Roman" w:hAnsi="Times New Roman" w:eastAsia="楷体" w:cs="Times New Roman"/>
          <w:color w:val="823C0B"/>
        </w:rPr>
        <w:t>本文观点、结论和建议等仅供参考，并不构成操作依据！请阅读文末免责声明。</w:t>
      </w:r>
    </w:p>
    <w:p>
      <w:pPr>
        <w:rPr>
          <w:rFonts w:ascii="Times New Roman" w:hAnsi="Times New Roman" w:eastAsia="楷体" w:cs="Times New Roman"/>
          <w:b/>
          <w:color w:val="823C0B"/>
          <w:sz w:val="24"/>
        </w:rPr>
      </w:pPr>
    </w:p>
    <w:p>
      <w:pPr>
        <w:jc w:val="center"/>
        <w:rPr>
          <w:rFonts w:ascii="Times New Roman" w:hAnsi="Times New Roman" w:eastAsia="楷体"/>
          <w:b/>
          <w:color w:val="823C0B"/>
          <w:sz w:val="30"/>
          <w:szCs w:val="30"/>
        </w:rPr>
      </w:pPr>
      <w:r>
        <w:rPr>
          <w:rFonts w:hint="eastAsia" w:ascii="Times New Roman" w:hAnsi="Times New Roman" w:eastAsia="楷体"/>
          <w:b/>
          <w:color w:val="823C0B"/>
          <w:sz w:val="30"/>
          <w:szCs w:val="30"/>
        </w:rPr>
        <w:t>本日早评</w:t>
      </w:r>
    </w:p>
    <w:p>
      <w:pPr>
        <w:pBdr>
          <w:top w:val="single" w:color="auto" w:sz="4" w:space="0"/>
        </w:pBdr>
        <w:outlineLvl w:val="0"/>
        <w:rPr>
          <w:rFonts w:ascii="Times New Roman" w:hAnsi="Times New Roman" w:eastAsia="楷体"/>
          <w:b/>
          <w:color w:val="823C0B"/>
        </w:rPr>
      </w:pPr>
      <w:bookmarkStart w:id="1" w:name="_Toc18033"/>
      <w:bookmarkStart w:id="2" w:name="_Toc19317"/>
      <w:bookmarkStart w:id="3" w:name="_Toc27714"/>
      <w:bookmarkStart w:id="4" w:name="金融"/>
      <w:r>
        <w:rPr>
          <w:rFonts w:hint="eastAsia" w:ascii="Times New Roman" w:hAnsi="Times New Roman" w:eastAsia="楷体"/>
          <w:b/>
          <w:color w:val="823C0B"/>
          <w:sz w:val="30"/>
          <w:szCs w:val="30"/>
        </w:rPr>
        <w:t>[金融]</w:t>
      </w:r>
      <w:bookmarkEnd w:id="1"/>
      <w:bookmarkEnd w:id="2"/>
      <w:bookmarkEnd w:id="3"/>
    </w:p>
    <w:bookmarkEnd w:id="4"/>
    <w:p>
      <w:pPr>
        <w:ind w:left="420" w:leftChars="200"/>
        <w:outlineLvl w:val="1"/>
        <w:rPr>
          <w:rFonts w:hint="eastAsia" w:ascii="Times New Roman" w:hAnsi="Times New Roman" w:eastAsia="楷体"/>
          <w:b/>
          <w:color w:val="000000" w:themeColor="text1"/>
          <w:sz w:val="24"/>
          <w:szCs w:val="24"/>
          <w14:textFill>
            <w14:solidFill>
              <w14:schemeClr w14:val="tx1"/>
            </w14:solidFill>
          </w14:textFill>
        </w:rPr>
      </w:pPr>
      <w:bookmarkStart w:id="5" w:name="_Toc965"/>
      <w:bookmarkStart w:id="6" w:name="_Toc16295"/>
      <w:bookmarkStart w:id="7" w:name="_Toc6821"/>
      <w:r>
        <w:rPr>
          <w:rFonts w:hint="eastAsia" w:ascii="Times New Roman" w:hAnsi="Times New Roman" w:eastAsia="楷体"/>
          <w:b/>
          <w:color w:val="000000" w:themeColor="text1"/>
          <w:sz w:val="24"/>
          <w:szCs w:val="24"/>
          <w14:textFill>
            <w14:solidFill>
              <w14:schemeClr w14:val="tx1"/>
            </w14:solidFill>
          </w14:textFill>
        </w:rPr>
        <w:t>股指：</w:t>
      </w:r>
      <w:bookmarkEnd w:id="5"/>
      <w:bookmarkEnd w:id="6"/>
      <w:r>
        <w:rPr>
          <w:rFonts w:hint="eastAsia" w:ascii="Times New Roman" w:hAnsi="Times New Roman" w:eastAsia="楷体"/>
          <w:b/>
          <w:color w:val="000000" w:themeColor="text1"/>
          <w:sz w:val="24"/>
          <w:szCs w:val="24"/>
          <w14:textFill>
            <w14:solidFill>
              <w14:schemeClr w14:val="tx1"/>
            </w14:solidFill>
          </w14:textFill>
        </w:rPr>
        <w:t>观望为主，待市场情绪回归平稳</w:t>
      </w:r>
      <w:bookmarkEnd w:id="7"/>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节后政策预期差变化，A股回归存量博弈，同时美国9月非农就业和通胀超预期，地缘政治风险升温，美国大选存变数，美元指数反弹，带动近期人民币汇率偏弱，短期给市场带来一定调整压力，短线观望为主，等待市场情绪回归平稳。</w:t>
      </w:r>
    </w:p>
    <w:p>
      <w:pPr>
        <w:ind w:left="630" w:leftChars="300"/>
        <w:rPr>
          <w:rFonts w:hint="eastAsia"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rPr>
      </w:pPr>
      <w:bookmarkStart w:id="8" w:name="_Toc20006"/>
      <w:r>
        <w:rPr>
          <w:rFonts w:hint="eastAsia" w:ascii="Times New Roman" w:hAnsi="Times New Roman" w:eastAsia="楷体"/>
          <w:b/>
          <w:color w:val="823C0B"/>
          <w:sz w:val="30"/>
          <w:szCs w:val="30"/>
        </w:rPr>
        <w:t>[贵金属]</w:t>
      </w:r>
      <w:bookmarkEnd w:id="8"/>
    </w:p>
    <w:p>
      <w:pPr>
        <w:ind w:left="420" w:leftChars="200"/>
        <w:outlineLvl w:val="1"/>
        <w:rPr>
          <w:rFonts w:hint="eastAsia" w:ascii="Times New Roman" w:hAnsi="Times New Roman" w:eastAsia="楷体"/>
          <w:b/>
          <w:color w:val="000000" w:themeColor="text1"/>
          <w:sz w:val="24"/>
          <w:szCs w:val="24"/>
          <w14:textFill>
            <w14:solidFill>
              <w14:schemeClr w14:val="tx1"/>
            </w14:solidFill>
          </w14:textFill>
        </w:rPr>
      </w:pPr>
      <w:bookmarkStart w:id="9" w:name="_Toc11415"/>
      <w:r>
        <w:rPr>
          <w:rFonts w:hint="eastAsia" w:ascii="Times New Roman" w:hAnsi="Times New Roman" w:eastAsia="楷体"/>
          <w:b/>
          <w:color w:val="000000" w:themeColor="text1"/>
          <w:sz w:val="24"/>
          <w:szCs w:val="24"/>
          <w14:textFill>
            <w14:solidFill>
              <w14:schemeClr w14:val="tx1"/>
            </w14:solidFill>
          </w14:textFill>
        </w:rPr>
        <w:t>贵金属：避险情绪推动，贵金属价格大幅上涨</w:t>
      </w:r>
      <w:bookmarkEnd w:id="9"/>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沪金涨0.08%至622.62元/克，沪银涨1.53%至8250元/千克。地缘冲突加剧，中东及半岛局势紧张提振避险情绪。当前海外市场对于美联储的降息预期相对稳定，预计年内剩余两次会议或各降息25bp。欧央行上周如期降息25bp，后续降息预期强化，支撑美元略微走强。近期特朗普支持率上升，美国大选临近以及地缘政治冲突风险等仍将提振避险情绪，沪金续创新高后上方空间打开，贵金属价格或偏强运行。</w:t>
      </w:r>
    </w:p>
    <w:p>
      <w:pPr>
        <w:ind w:left="630" w:leftChars="300"/>
        <w:rPr>
          <w:rFonts w:hint="eastAsia"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sz w:val="30"/>
          <w:szCs w:val="30"/>
        </w:rPr>
      </w:pPr>
      <w:bookmarkStart w:id="10" w:name="金属"/>
      <w:bookmarkStart w:id="11" w:name="_Toc3096"/>
      <w:bookmarkStart w:id="12" w:name="_Toc20891"/>
      <w:bookmarkStart w:id="13" w:name="_Toc18321"/>
      <w:bookmarkStart w:id="14" w:name="农产品"/>
      <w:r>
        <w:rPr>
          <w:rFonts w:hint="eastAsia" w:ascii="Times New Roman" w:hAnsi="Times New Roman" w:eastAsia="楷体"/>
          <w:b/>
          <w:color w:val="823C0B"/>
          <w:sz w:val="30"/>
          <w:szCs w:val="30"/>
        </w:rPr>
        <w:t>[金属]</w:t>
      </w:r>
      <w:bookmarkEnd w:id="10"/>
      <w:bookmarkEnd w:id="11"/>
      <w:bookmarkEnd w:id="12"/>
      <w:bookmarkEnd w:id="13"/>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15" w:name="_Toc12336"/>
      <w:bookmarkStart w:id="16" w:name="_Toc27831"/>
      <w:bookmarkStart w:id="17" w:name="_Toc5371"/>
      <w:r>
        <w:rPr>
          <w:rFonts w:hint="eastAsia" w:ascii="楷体" w:hAnsi="楷体" w:eastAsia="楷体"/>
          <w:b/>
          <w:color w:val="000000" w:themeColor="text1"/>
          <w:sz w:val="24"/>
          <w:szCs w:val="24"/>
          <w14:textFill>
            <w14:solidFill>
              <w14:schemeClr w14:val="tx1"/>
            </w14:solidFill>
          </w14:textFill>
        </w:rPr>
        <w:t>碳酸锂：9月碳酸锂进口量环比微降，期价偏弱震荡</w:t>
      </w:r>
      <w:bookmarkEnd w:id="15"/>
    </w:p>
    <w:bookmarkEnd w:id="16"/>
    <w:bookmarkEnd w:id="17"/>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主力切换至01合约，收跌1.76%至72450元/吨。海关数据显示，9月国内碳酸锂进口总量约16265吨，环比减少8%，进口均价约为9851美元/吨。其中，从智利进口碳酸锂约13927吨，环比增8%，占比86%；从阿根廷进口碳酸锂约2026吨，环比减55%，占比12%。此前数据显示，智利9月对华锂盐出口量为16600吨，环比增37%，预计后续仍将贡献供应增量。据广期所业务细则，下周一起，11合约非期货公司会员、境外特殊非经纪参与者、客户持仓限额降低至1000手，建议相关持仓择机换月展期。主力切换期间存在一定的仓单压力，7万元/吨整数关口附近运行，期价或偏弱震荡。全球资源端产销维持增量，中期供需或维持略微过剩格局。</w:t>
      </w:r>
    </w:p>
    <w:p>
      <w:pPr>
        <w:ind w:firstLine="480" w:firstLineChars="200"/>
        <w:rPr>
          <w:rFonts w:ascii="楷体" w:hAnsi="楷体" w:eastAsia="楷体"/>
          <w:bCs/>
          <w:sz w:val="24"/>
          <w:szCs w:val="24"/>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18" w:name="_Toc8897"/>
      <w:bookmarkStart w:id="19" w:name="_Toc6247"/>
      <w:bookmarkStart w:id="20" w:name="_Toc29793"/>
      <w:r>
        <w:rPr>
          <w:rFonts w:hint="eastAsia" w:ascii="楷体" w:hAnsi="楷体" w:eastAsia="楷体"/>
          <w:b/>
          <w:color w:val="000000" w:themeColor="text1"/>
          <w:sz w:val="24"/>
          <w:szCs w:val="24"/>
          <w14:textFill>
            <w14:solidFill>
              <w14:schemeClr w14:val="tx1"/>
            </w14:solidFill>
          </w14:textFill>
        </w:rPr>
        <w:t>铝：</w:t>
      </w:r>
      <w:bookmarkEnd w:id="18"/>
      <w:bookmarkEnd w:id="19"/>
      <w:r>
        <w:rPr>
          <w:rFonts w:hint="eastAsia" w:ascii="楷体" w:hAnsi="楷体" w:eastAsia="楷体"/>
          <w:b/>
          <w:color w:val="000000" w:themeColor="text1"/>
          <w:sz w:val="24"/>
          <w:szCs w:val="24"/>
          <w14:textFill>
            <w14:solidFill>
              <w14:schemeClr w14:val="tx1"/>
            </w14:solidFill>
          </w14:textFill>
        </w:rPr>
        <w:t>短期回调盘整运行</w:t>
      </w:r>
      <w:bookmarkEnd w:id="20"/>
      <w:r>
        <w:rPr>
          <w:rFonts w:hint="eastAsia" w:ascii="楷体" w:hAnsi="楷体" w:eastAsia="楷体"/>
          <w:b/>
          <w:color w:val="000000" w:themeColor="text1"/>
          <w:sz w:val="24"/>
          <w:szCs w:val="24"/>
          <w14:textFill>
            <w14:solidFill>
              <w14:schemeClr w14:val="tx1"/>
            </w14:solidFill>
          </w14:textFill>
        </w:rPr>
        <w:t xml:space="preserve">   </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美国民众对未来经济表现态度偏悲观，美国CPI数据超预期，市场对美联储11月会议利率公布预测将下调25个基点，美元指数近期强势，国内消费情绪改善，国家近期陆续推出一揽子针对性增量政策，24年前三季度GDP表现亮眼，提振市场情绪。几内亚雨季逐步进入尾声，但当地矿产出港量依旧保持低位，国内矿产复产进度缓慢，另有阿联酋环球铝业几内亚子公司出口被关停消息刺激，铝土矿供应紧张格局延续，氧化铝本周价格价格重心抬升，流通现货稀缺，现货价向期货盘面收敛，对电解铝成本形成较强支撑，下游电解铝开产产能保持高位，进入四季度枯水期但预计受影响产能较少，下游企业加工情况明显改善，铸锭库存、铝棒库存去库，对外出口消费走弱。</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市场对未来经济表现预期偏悲观，基本面供给端提供强支撑，下游需求改善，库存去库，铝价短期承压，暂看20300-20500下方支撑，建议充分回调后逢低布多。</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1" w:name="_Toc28048"/>
      <w:r>
        <w:rPr>
          <w:rFonts w:hint="eastAsia" w:ascii="楷体" w:hAnsi="楷体" w:eastAsia="楷体"/>
          <w:b/>
          <w:color w:val="000000" w:themeColor="text1"/>
          <w:sz w:val="24"/>
          <w:szCs w:val="24"/>
          <w14:textFill>
            <w14:solidFill>
              <w14:schemeClr w14:val="tx1"/>
            </w14:solidFill>
          </w14:textFill>
        </w:rPr>
        <w:t>锌：锌价上行空间有限，前高压力依旧有效</w:t>
      </w:r>
      <w:bookmarkEnd w:id="21"/>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海外市场情绪偏弱，美国CPI数据表现超预期，美联储降息步伐预期放缓，国内经济政策工具箱打开，政策利好持续释放。矿TC加工费反弹乏力，原料紧缺仍为锌市供应难题，短期进口矿补充难以缓解炼厂原料压力，锌矿-精炼锌利润倒挂，炼厂生产积极性较低，精炼锌产量明显下降，受宏观情绪推动沪锌期货价格攀至高位，实际下游接受度较差，钢厂基本面压力大，旺季不旺拖累镀锌需求，锌合金及氧化锌消费情绪一般，库存保持去库但去库节奏缓慢。</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宏观情绪走弱，基本面供需两弱，锌价高位市场接受度较低，预计短期高位回落，暂看24000一线支撑。</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2" w:name="_Toc12524"/>
      <w:r>
        <w:rPr>
          <w:rFonts w:hint="eastAsia" w:ascii="楷体" w:hAnsi="楷体" w:eastAsia="楷体"/>
          <w:b/>
          <w:color w:val="000000" w:themeColor="text1"/>
          <w:sz w:val="24"/>
          <w:szCs w:val="24"/>
          <w:lang w:val="en-US" w:eastAsia="zh-CN"/>
          <w14:textFill>
            <w14:solidFill>
              <w14:schemeClr w14:val="tx1"/>
            </w14:solidFill>
          </w14:textFill>
        </w:rPr>
        <w:t>铜</w:t>
      </w:r>
      <w:r>
        <w:rPr>
          <w:rFonts w:hint="eastAsia" w:ascii="楷体" w:hAnsi="楷体" w:eastAsia="楷体"/>
          <w:b/>
          <w:color w:val="000000" w:themeColor="text1"/>
          <w:sz w:val="24"/>
          <w:szCs w:val="24"/>
          <w14:textFill>
            <w14:solidFill>
              <w14:schemeClr w14:val="tx1"/>
            </w14:solidFill>
          </w14:textFill>
        </w:rPr>
        <w:t>：区间震荡</w:t>
      </w:r>
      <w:bookmarkEnd w:id="22"/>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(1)库存：10月21日，SHFE仓单库存60701吨，减2307吨；LME仓单库存282200吨，减2000吨。</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(2)精废价差：10月21日，Mysteel精废价差1416，扩张424。目前价差在合理价差1474之下。</w:t>
      </w:r>
    </w:p>
    <w:p>
      <w:pPr>
        <w:ind w:left="630" w:leftChars="300"/>
        <w:rPr>
          <w:rFonts w:hint="eastAsia" w:ascii="楷体" w:hAnsi="楷体" w:eastAsia="楷体"/>
          <w:color w:val="000000" w:themeColor="text1"/>
          <w:sz w:val="24"/>
          <w:szCs w:val="24"/>
          <w14:textFill>
            <w14:solidFill>
              <w14:schemeClr w14:val="tx1"/>
            </w14:solidFill>
          </w14:textFill>
        </w:rPr>
      </w:pP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综述：宏观面，隔夜多位美联储高官密集发声支持逐步降息，即放慢9月大幅降息的步伐。受美联储高官偏鹰派讲话影响，市场对明年的降息预期下降，美债收益率及美元指数继续涨势，整体有色承压运行。基本面，上周有进口铜持续大量流入内贸，国内库存持续累增，现货承压运行，铜精矿TC上抬，矿原料供应偏紧态势有所缓解。整体而言，短期基本面表现偏弱，铜价主要跟随宏观情绪波动，预计区间震荡为主，趋势性行情暂难出现，短期价格波动参考7.6-7.9万。</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3" w:name="_Toc6541"/>
      <w:r>
        <w:rPr>
          <w:rFonts w:hint="eastAsia" w:ascii="楷体" w:hAnsi="楷体" w:eastAsia="楷体"/>
          <w:b/>
          <w:color w:val="000000" w:themeColor="text1"/>
          <w:sz w:val="24"/>
          <w:szCs w:val="24"/>
          <w14:textFill>
            <w14:solidFill>
              <w14:schemeClr w14:val="tx1"/>
            </w14:solidFill>
          </w14:textFill>
        </w:rPr>
        <w:t>镍：维持偏空思路</w:t>
      </w:r>
      <w:bookmarkEnd w:id="23"/>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宏观方面，10月LPR5年期和1年期利率均下调25个基点，提振市场情绪，后市重点在于人大会议。镍矿方面，当前印尼中高品味镍矿内贸升水维持在22美元/湿吨左右，不过本周Eramet与青山集团的合资镍矿山 PT Weda Bay Nickel再次通过1600万吨镍矿配额，说明印尼镍矿RKAB进度或加快，印尼镍矿供应紧张状况或缓解，密切关注印尼镍矿价格变动。供需方面，精炼镍供需情况乏善可陈，三元材料产业链处于去库周期，镍过剩格局延续，海内外库存趋势性累库。综合而言，虽宏观情绪回温，但镍基本面未有起色，加上印尼大型矿山获批镍矿配额量增加，镍价反弹空间受限，关注沽空机会。</w:t>
      </w:r>
    </w:p>
    <w:p>
      <w:pPr>
        <w:rPr>
          <w:rFonts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4" w:name="_Toc18748"/>
      <w:r>
        <w:rPr>
          <w:rFonts w:hint="eastAsia" w:ascii="楷体" w:hAnsi="楷体" w:eastAsia="楷体"/>
          <w:b/>
          <w:color w:val="000000" w:themeColor="text1"/>
          <w:sz w:val="24"/>
          <w:szCs w:val="24"/>
          <w14:textFill>
            <w14:solidFill>
              <w14:schemeClr w14:val="tx1"/>
            </w14:solidFill>
          </w14:textFill>
        </w:rPr>
        <w:t>锡：底部有支撑</w:t>
      </w:r>
      <w:bookmarkEnd w:id="24"/>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隔夜美元指数延续强势压制整体有色，上周国内锡社库小增，库存水平与去年接近。市场关注佤邦消息，通知显示办证缴费针对当地所有矿种，目前仍没有围绕锡采矿复工的确定性消息，不过情绪上有些波动。国内冶炼厂加工费再度下调凸显原料供应偏紧，对价格仍有底部支撑。操作上，暂时观望。</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5" w:name="_Toc14440"/>
      <w:r>
        <w:rPr>
          <w:rFonts w:hint="eastAsia" w:ascii="楷体" w:hAnsi="楷体" w:eastAsia="楷体"/>
          <w:b/>
          <w:color w:val="000000" w:themeColor="text1"/>
          <w:sz w:val="24"/>
          <w:szCs w:val="24"/>
          <w14:textFill>
            <w14:solidFill>
              <w14:schemeClr w14:val="tx1"/>
            </w14:solidFill>
          </w14:textFill>
        </w:rPr>
        <w:t>铅：需求难承接供应增量，铅价上方空间有限</w:t>
      </w:r>
      <w:bookmarkEnd w:id="25"/>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宏观方面，10月LPR5年期和1年期利率均下调25个基点，提振市场情绪。废电瓶方面，近期废电瓶到货量增加，再生铅炼企库存处于安全水平。原生铅方面，炼企普遍恢复生产，加之青海西豫20万吨产能已投产，原生铅供应趋增。再生铅方面，受利润浮亏及安徽环保检查的影响，再生铅复产节奏放缓，不过整体而言再生铅供应将呈现增量。需求方面，受以旧换新等政策影响，下游需求有边际改善，但铅市消费已逐渐步入传统淡季，预计消费难以承接供应增量。库存方面，截止10月21日，全国主要市场铅锭社会库存为6.98万吨，较10月17日减少1.3万吨，较10月14日减少0.64万吨。综合而言，宏观情绪好转，社库转为去库，但供应端逐步复产，而消费预计难以承接供应增量，铅价上方空间有限。</w:t>
      </w:r>
    </w:p>
    <w:p>
      <w:pPr>
        <w:rPr>
          <w:rFonts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6" w:name="_Toc32614"/>
      <w:r>
        <w:rPr>
          <w:rFonts w:hint="eastAsia" w:ascii="楷体" w:hAnsi="楷体" w:eastAsia="楷体"/>
          <w:b/>
          <w:color w:val="000000" w:themeColor="text1"/>
          <w:sz w:val="24"/>
          <w:szCs w:val="24"/>
          <w14:textFill>
            <w14:solidFill>
              <w14:schemeClr w14:val="tx1"/>
            </w14:solidFill>
          </w14:textFill>
        </w:rPr>
        <w:t>不锈钢：成本支撑但供需仍弱势，区间震荡为主</w:t>
      </w:r>
      <w:bookmarkEnd w:id="26"/>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宏观方面，LPR下调对市场情绪带来一定提振。镍矿方面，当前印尼中高品味镍矿内贸升水维持在22美元/湿吨左右，不过近期Eramet与青山集团的合资镍矿山 PT Weda Bay Nickel再次通过1600万吨镍矿配额，说明印尼镍矿RKAB进度或加快。镍铁方面，青山最新招标价格1050元/镍（到厂含税），交期11月，不锈钢成本支撑上移，但若印尼镍矿供应释放，将利空镍铁价格。供需方面，不锈钢厂排产仍处于高位水平，下游补库力度有限，社会库存小幅累库。综合而言，镍铁价格走强对不锈钢价格形成支撑，但供应高排产而下游补库有限，社会库存转为小幅累积，印尼镍矿供应紧张状况预期缓解，不锈钢价格区间震荡为主，主力运行区间参考13300-14300，价格上破驱动需要看到宏观刺激或明显去库。</w:t>
      </w:r>
    </w:p>
    <w:p>
      <w:pPr>
        <w:rPr>
          <w:rFonts w:ascii="楷体" w:hAnsi="楷体" w:eastAsia="楷体"/>
          <w:bCs/>
          <w:sz w:val="24"/>
          <w:szCs w:val="24"/>
        </w:rPr>
      </w:pPr>
    </w:p>
    <w:p>
      <w:pPr>
        <w:ind w:left="420" w:leftChars="200"/>
        <w:outlineLvl w:val="1"/>
        <w:rPr>
          <w:rFonts w:ascii="楷体" w:hAnsi="楷体" w:eastAsia="楷体"/>
          <w:b/>
          <w:sz w:val="24"/>
          <w:szCs w:val="24"/>
        </w:rPr>
      </w:pPr>
      <w:bookmarkStart w:id="27" w:name="_Toc32600"/>
      <w:r>
        <w:rPr>
          <w:rFonts w:hint="eastAsia" w:ascii="楷体" w:hAnsi="楷体" w:eastAsia="楷体"/>
          <w:b/>
          <w:color w:val="000000" w:themeColor="text1"/>
          <w:sz w:val="24"/>
          <w:szCs w:val="24"/>
          <w14:textFill>
            <w14:solidFill>
              <w14:schemeClr w14:val="tx1"/>
            </w14:solidFill>
          </w14:textFill>
        </w:rPr>
        <w:t>工业硅：</w:t>
      </w:r>
      <w:r>
        <w:rPr>
          <w:rFonts w:hint="eastAsia" w:ascii="楷体" w:hAnsi="楷体" w:eastAsia="楷体"/>
          <w:b/>
          <w:sz w:val="24"/>
          <w:szCs w:val="24"/>
        </w:rPr>
        <w:t>基本面改善预期有限，关注宏观情绪波动</w:t>
      </w:r>
      <w:bookmarkEnd w:id="27"/>
    </w:p>
    <w:p>
      <w:pPr>
        <w:ind w:left="630" w:leftChars="300"/>
        <w:rPr>
          <w:rFonts w:ascii="楷体" w:hAnsi="楷体" w:eastAsia="楷体"/>
          <w:sz w:val="24"/>
          <w:szCs w:val="24"/>
        </w:rPr>
      </w:pPr>
      <w:r>
        <w:rPr>
          <w:rFonts w:hint="eastAsia" w:ascii="楷体" w:hAnsi="楷体" w:eastAsia="楷体"/>
          <w:sz w:val="24"/>
          <w:szCs w:val="24"/>
        </w:rPr>
        <w:t>10月21日，Si2412主力合约呈震荡走势，收盘价12490元/吨，较上一收盘价涨跌幅+0.20%。西南即将进入枯水期存在减产预期，北方存在新增产能投放预期，呈现南减北增格局，而需求端暂未明显起色，基本面改善预期相对有限，叠加临近仓单集中注销，反弹压力仍存，维持底部震荡观点，主力合约参考区间（12100，13000），后续交易重点宏观情绪波动与仓单注销节奏。策略上，维持波段操作思路。</w:t>
      </w:r>
    </w:p>
    <w:p>
      <w:pPr>
        <w:ind w:firstLine="420" w:firstLineChars="200"/>
        <w:rPr>
          <w:rFonts w:ascii="Times New Roman" w:hAnsi="Times New Roman" w:eastAsia="楷体"/>
          <w:bCs/>
        </w:rPr>
      </w:pPr>
    </w:p>
    <w:p>
      <w:pPr>
        <w:ind w:left="420" w:leftChars="200"/>
        <w:outlineLvl w:val="1"/>
        <w:rPr>
          <w:rFonts w:ascii="楷体" w:hAnsi="楷体" w:eastAsia="楷体"/>
          <w:b/>
          <w:sz w:val="24"/>
          <w:szCs w:val="24"/>
        </w:rPr>
      </w:pPr>
      <w:bookmarkStart w:id="28" w:name="_Toc2419"/>
      <w:r>
        <w:rPr>
          <w:rFonts w:hint="eastAsia" w:ascii="楷体" w:hAnsi="楷体" w:eastAsia="楷体"/>
          <w:b/>
          <w:color w:val="000000" w:themeColor="text1"/>
          <w:sz w:val="24"/>
          <w:szCs w:val="24"/>
          <w14:textFill>
            <w14:solidFill>
              <w14:schemeClr w14:val="tx1"/>
            </w14:solidFill>
          </w14:textFill>
        </w:rPr>
        <w:t>螺纹钢：宏观情绪转弱，盘面或震荡偏弱</w:t>
      </w:r>
      <w:bookmarkEnd w:id="28"/>
    </w:p>
    <w:p>
      <w:pPr>
        <w:ind w:left="630" w:leftChars="300"/>
        <w:rPr>
          <w:rFonts w:ascii="楷体" w:hAnsi="楷体" w:eastAsia="楷体"/>
          <w:sz w:val="24"/>
          <w:szCs w:val="24"/>
        </w:rPr>
      </w:pPr>
      <w:r>
        <w:rPr>
          <w:rFonts w:hint="eastAsia" w:ascii="楷体" w:hAnsi="楷体" w:eastAsia="楷体"/>
          <w:sz w:val="24"/>
          <w:szCs w:val="24"/>
        </w:rPr>
        <w:t>从宏观面来看，上周住建部等五部门召开发布会，更多是对之前政策的延续，增量的政策低于市场预期，使得宏观情绪再度转弱。从基本面来看，近期国内钢材市场有所转弱，终端采购进度放缓，整体成交表现偏弱，市场商家观望心态明显增多。整体来看，在宏观情绪再度转弱背景下，叠加基本面边际走弱，使得盘面整体承压下行，预计后续将震荡偏弱运行。</w:t>
      </w:r>
    </w:p>
    <w:p>
      <w:pPr>
        <w:ind w:firstLine="420" w:firstLineChars="200"/>
        <w:rPr>
          <w:rFonts w:ascii="Times New Roman" w:hAnsi="Times New Roman" w:eastAsia="楷体"/>
          <w:bCs/>
        </w:rPr>
      </w:pPr>
    </w:p>
    <w:p>
      <w:pPr>
        <w:pBdr>
          <w:top w:val="single" w:color="auto" w:sz="4" w:space="0"/>
        </w:pBdr>
        <w:outlineLvl w:val="0"/>
        <w:rPr>
          <w:rFonts w:ascii="Times New Roman" w:hAnsi="Times New Roman" w:eastAsia="楷体"/>
          <w:b/>
          <w:color w:val="823C0B"/>
          <w:sz w:val="30"/>
          <w:szCs w:val="30"/>
        </w:rPr>
      </w:pPr>
      <w:bookmarkStart w:id="29" w:name="化工"/>
      <w:r>
        <w:rPr>
          <w:rFonts w:hint="eastAsia" w:ascii="Times New Roman" w:hAnsi="Times New Roman" w:eastAsia="楷体"/>
          <w:b/>
          <w:color w:val="823C0B"/>
          <w:sz w:val="30"/>
          <w:szCs w:val="30"/>
        </w:rPr>
        <w:t xml:space="preserve"> </w:t>
      </w:r>
      <w:bookmarkStart w:id="30" w:name="_Toc29504"/>
      <w:r>
        <w:rPr>
          <w:rFonts w:hint="eastAsia" w:ascii="Times New Roman" w:hAnsi="Times New Roman" w:eastAsia="楷体"/>
          <w:b/>
          <w:color w:val="823C0B"/>
          <w:sz w:val="30"/>
          <w:szCs w:val="30"/>
        </w:rPr>
        <w:t>[化工]</w:t>
      </w:r>
      <w:bookmarkEnd w:id="29"/>
      <w:bookmarkEnd w:id="30"/>
    </w:p>
    <w:p>
      <w:pPr>
        <w:ind w:firstLine="482" w:firstLineChars="200"/>
        <w:outlineLvl w:val="1"/>
        <w:rPr>
          <w:rFonts w:ascii="楷体" w:hAnsi="楷体" w:eastAsia="楷体"/>
          <w:b/>
          <w:sz w:val="24"/>
          <w:szCs w:val="24"/>
        </w:rPr>
      </w:pPr>
      <w:bookmarkStart w:id="31" w:name="_Toc27568"/>
      <w:r>
        <w:rPr>
          <w:rFonts w:hint="eastAsia" w:ascii="Times New Roman" w:hAnsi="Times New Roman" w:eastAsia="楷体"/>
          <w:b/>
          <w:color w:val="000000" w:themeColor="text1"/>
          <w:sz w:val="24"/>
          <w:szCs w:val="24"/>
          <w14:textFill>
            <w14:solidFill>
              <w14:schemeClr w14:val="tx1"/>
            </w14:solidFill>
          </w14:textFill>
        </w:rPr>
        <w:t>天然橡胶:</w:t>
      </w:r>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主产区天气持续转好 天胶成本支撑减弱</w:t>
      </w:r>
      <w:bookmarkEnd w:id="31"/>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sz w:val="24"/>
          <w:szCs w:val="24"/>
        </w:rPr>
      </w:pPr>
      <w:r>
        <w:rPr>
          <w:rFonts w:hint="eastAsia" w:ascii="楷体" w:hAnsi="楷体" w:eastAsia="楷体"/>
          <w:sz w:val="24"/>
          <w:szCs w:val="24"/>
        </w:rPr>
        <w:t>成本端，从泰国宋卡地区的最新报价来看，目前各品类胶价假期整体出现回落。伴随后续天气好转，原料价格支撑或有所松动。库存方面，本周青岛港口小幅累库。下游需求方面，全钢轮胎检修企业数量及检修天数同比去年均明显增加，半钢轮胎检修企业数量及总减损情况同比去年有所减少。全钢轮胎企业多受困于高成本、低需求和库存压力而选择停产检修，半钢轮胎企业则得益于出口市场的强劲支撑和合理的库存水平而维持开工高景气。整体看，尽管四季度橡胶在基本面供小于求的支撑下以偏多头思路看待，但仍需持续关注东南亚主产区短期降水问题有出现缓和迹象，以及全钢胎阶段性需求较差的问题，短期不排除原料价格回落、制约胶价表现。</w:t>
      </w:r>
    </w:p>
    <w:p>
      <w:pPr>
        <w:ind w:left="630" w:leftChars="300"/>
        <w:rPr>
          <w:rFonts w:hint="eastAsia" w:ascii="楷体" w:hAnsi="楷体" w:eastAsia="楷体"/>
          <w:sz w:val="24"/>
          <w:szCs w:val="24"/>
        </w:rPr>
      </w:pPr>
    </w:p>
    <w:p>
      <w:pPr>
        <w:ind w:firstLine="482" w:firstLineChars="200"/>
        <w:outlineLvl w:val="1"/>
        <w:rPr>
          <w:rFonts w:ascii="楷体" w:hAnsi="楷体" w:eastAsia="楷体"/>
          <w:b/>
          <w:sz w:val="24"/>
          <w:szCs w:val="24"/>
        </w:rPr>
      </w:pPr>
      <w:bookmarkStart w:id="32" w:name="_Toc13900"/>
      <w:r>
        <w:rPr>
          <w:rFonts w:hint="eastAsia" w:ascii="Times New Roman" w:hAnsi="Times New Roman" w:eastAsia="楷体"/>
          <w:b/>
          <w:color w:val="000000" w:themeColor="text1"/>
          <w:sz w:val="24"/>
          <w:szCs w:val="24"/>
          <w14:textFill>
            <w14:solidFill>
              <w14:schemeClr w14:val="tx1"/>
            </w14:solidFill>
          </w14:textFill>
        </w:rPr>
        <w:t>聚烯烃：旺季需求提振有限，聚烯烃随原油波动为主</w:t>
      </w:r>
      <w:bookmarkEnd w:id="32"/>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ascii="楷体" w:hAnsi="楷体" w:eastAsia="楷体"/>
          <w:sz w:val="24"/>
          <w:szCs w:val="24"/>
        </w:rPr>
      </w:pPr>
      <w:r>
        <w:rPr>
          <w:rFonts w:hint="eastAsia" w:ascii="楷体" w:hAnsi="楷体" w:eastAsia="楷体"/>
          <w:sz w:val="24"/>
          <w:szCs w:val="24"/>
        </w:rPr>
        <w:t>受原油需求下降影响，国际油价大幅走低，聚烯烃成本支撑走弱，盘面震荡走低。福建联合、中韩石化等石化厂进入计划检修期，现阶段检修装置较多，PE开工率降低至偏低水平，PP开工率下降，其中PDH制PP开工率仍处于中下水平。预计未来开工率将回升，同时新装置中石化英力士有开车可能性，PE进口窗口打开，内外盘供应均有增量预期。下游需求旺季，终端刚需较好，但下游工厂延续刚需采购，上游生产企业去库较慢。短期预计聚烯烃区间整理。</w:t>
      </w:r>
    </w:p>
    <w:p>
      <w:pPr>
        <w:rPr>
          <w:rFonts w:hint="eastAsia" w:ascii="楷体" w:hAnsi="楷体" w:eastAsia="楷体"/>
          <w:color w:val="000000" w:themeColor="text1"/>
          <w:sz w:val="24"/>
          <w:szCs w:val="24"/>
          <w14:textFill>
            <w14:solidFill>
              <w14:schemeClr w14:val="tx1"/>
            </w14:solidFill>
          </w14:textFill>
        </w:rPr>
      </w:pPr>
    </w:p>
    <w:p>
      <w:pPr>
        <w:ind w:firstLine="482" w:firstLineChars="200"/>
        <w:outlineLvl w:val="1"/>
        <w:rPr>
          <w:rFonts w:ascii="楷体" w:hAnsi="楷体" w:eastAsia="楷体"/>
          <w:b/>
          <w:sz w:val="24"/>
          <w:szCs w:val="24"/>
        </w:rPr>
      </w:pPr>
      <w:bookmarkStart w:id="33" w:name="_Toc31330"/>
      <w:r>
        <w:rPr>
          <w:rFonts w:hint="eastAsia" w:ascii="Times New Roman" w:hAnsi="Times New Roman" w:eastAsia="楷体"/>
          <w:b/>
          <w:color w:val="000000" w:themeColor="text1"/>
          <w:sz w:val="24"/>
          <w:szCs w:val="24"/>
          <w14:textFill>
            <w14:solidFill>
              <w14:schemeClr w14:val="tx1"/>
            </w14:solidFill>
          </w14:textFill>
        </w:rPr>
        <w:t>原油：飓风Francine助力，原油期货强势反弹</w:t>
      </w:r>
      <w:bookmarkEnd w:id="33"/>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sz w:val="24"/>
          <w:szCs w:val="24"/>
        </w:rPr>
      </w:pPr>
      <w:r>
        <w:rPr>
          <w:rFonts w:hint="eastAsia" w:ascii="楷体" w:hAnsi="楷体" w:eastAsia="楷体"/>
          <w:sz w:val="24"/>
          <w:szCs w:val="24"/>
        </w:rPr>
        <w:t>WTI原油主力合约强劲反弹大涨2.67%，收报69.18美元/桶；布伦特原油主力合约大涨2.02%，报72.15美元/桶；中国原油期货SC主力合约夜盘大涨2.31%，报514.5元/桶。</w:t>
      </w:r>
    </w:p>
    <w:p>
      <w:pPr>
        <w:ind w:left="630" w:leftChars="300"/>
        <w:rPr>
          <w:rFonts w:hint="eastAsia" w:ascii="楷体" w:hAnsi="楷体" w:eastAsia="楷体"/>
          <w:sz w:val="24"/>
          <w:szCs w:val="24"/>
        </w:rPr>
      </w:pPr>
      <w:r>
        <w:rPr>
          <w:rFonts w:hint="eastAsia" w:ascii="楷体" w:hAnsi="楷体" w:eastAsia="楷体"/>
          <w:sz w:val="24"/>
          <w:szCs w:val="24"/>
        </w:rPr>
        <w:t>受飓风Francine影响，美国作为全球最大的原油消费国面临供应中断的风险，这促使原油期货价格出现强劲反弹。随着飓风登陆并向内陆推进，墨西哥湾地区首当其冲，美国国家飓风中心已发布预警，路易斯安那州和密西西比州也进入了紧急状态。根据美国安全与环境执法局的报告，飓风导致墨西哥湾大约42%的原油生产设施和53%的天然气设施暂停运作。</w:t>
      </w:r>
    </w:p>
    <w:p>
      <w:pPr>
        <w:ind w:left="630" w:leftChars="300"/>
        <w:rPr>
          <w:rFonts w:hint="eastAsia" w:ascii="楷体" w:hAnsi="楷体" w:eastAsia="楷体"/>
          <w:sz w:val="24"/>
          <w:szCs w:val="24"/>
        </w:rPr>
      </w:pPr>
      <w:r>
        <w:rPr>
          <w:rFonts w:hint="eastAsia" w:ascii="楷体" w:hAnsi="楷体" w:eastAsia="楷体"/>
          <w:sz w:val="24"/>
          <w:szCs w:val="24"/>
        </w:rPr>
        <w:t>然而，国际能源署（IEA）最新发布的月度报告揭示了一个不同的图景。报告指出，全球石油需求增长正在显著放缓，导致油价触及三年来的低点。2024年上半年全球石油消费量预计仅增加90.3万桶/日，远低于2023年同期的增长速度。此外，IEA还下调了2024年的全球石油需求增长预期，预计若欧佩克+继续按计划逐步恢复产量，2025年或将出现供应过剩的情况。</w:t>
      </w:r>
    </w:p>
    <w:p>
      <w:pPr>
        <w:ind w:left="630" w:leftChars="300"/>
        <w:rPr>
          <w:rFonts w:hint="eastAsia" w:ascii="楷体" w:hAnsi="楷体" w:eastAsia="楷体"/>
          <w:sz w:val="24"/>
          <w:szCs w:val="24"/>
        </w:rPr>
      </w:pPr>
      <w:r>
        <w:rPr>
          <w:rFonts w:hint="eastAsia" w:ascii="楷体" w:hAnsi="楷体" w:eastAsia="楷体"/>
          <w:sz w:val="24"/>
          <w:szCs w:val="24"/>
        </w:rPr>
        <w:t>技术面显示，原油价格经历了快速下跌后，市场出现了一定程度的超卖，因此引发了此次反弹。尽管此次反弹较为强劲，已经收复了本周的部分跌幅，但从中期角度来看，下跌趋势仍未改变。未来几日，市场参与者需持续关注飓风对供应的实际影响，以及IEA报告中提到的需求放缓是否会在短期内给油价带来进一步压力。WTI原油主力合约虽有所反弹但短期仍看淡，2023年低点63.64美元/桶为短期的强支撑；布伦特原油主力合约，68.20美元/桶为2023年低点为短期重要支撑；国内原油期货主力合约SC2410价格，2023年低点480.6元/吨为重要支撑。</w:t>
      </w:r>
    </w:p>
    <w:p>
      <w:pPr>
        <w:ind w:left="630" w:leftChars="300"/>
        <w:rPr>
          <w:rFonts w:hint="eastAsia" w:ascii="楷体" w:hAnsi="楷体" w:eastAsia="楷体"/>
          <w:sz w:val="24"/>
          <w:szCs w:val="24"/>
          <w:lang w:val="en-US" w:eastAsia="zh-CN"/>
        </w:rPr>
      </w:pPr>
    </w:p>
    <w:p>
      <w:pPr>
        <w:ind w:firstLine="482" w:firstLineChars="200"/>
        <w:outlineLvl w:val="1"/>
        <w:rPr>
          <w:rFonts w:ascii="楷体" w:hAnsi="楷体" w:eastAsia="楷体"/>
          <w:b/>
          <w:sz w:val="24"/>
          <w:szCs w:val="24"/>
        </w:rPr>
      </w:pPr>
      <w:bookmarkStart w:id="34" w:name="_Toc17231"/>
      <w:r>
        <w:rPr>
          <w:rFonts w:hint="eastAsia" w:ascii="Times New Roman" w:hAnsi="Times New Roman" w:eastAsia="楷体"/>
          <w:b/>
          <w:color w:val="000000" w:themeColor="text1"/>
          <w:sz w:val="24"/>
          <w:szCs w:val="24"/>
          <w14:textFill>
            <w14:solidFill>
              <w14:schemeClr w14:val="tx1"/>
            </w14:solidFill>
          </w14:textFill>
        </w:rPr>
        <w:t>燃料油及低硫燃料油：燃料油期货夜盘上扬，弱势格局待破局</w:t>
      </w:r>
      <w:bookmarkEnd w:id="34"/>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sz w:val="24"/>
          <w:szCs w:val="24"/>
        </w:rPr>
      </w:pPr>
      <w:r>
        <w:rPr>
          <w:rFonts w:hint="eastAsia" w:ascii="楷体" w:hAnsi="楷体" w:eastAsia="楷体"/>
          <w:sz w:val="24"/>
          <w:szCs w:val="24"/>
        </w:rPr>
        <w:t>燃料油主力合约夜盘上涨1.89%，报2797元/吨；低硫燃料油主力合约夜盘上涨1.04%，报3899元/吨；价差为1102元/吨。</w:t>
      </w:r>
    </w:p>
    <w:p>
      <w:pPr>
        <w:ind w:left="630" w:leftChars="300"/>
        <w:rPr>
          <w:rFonts w:hint="eastAsia" w:ascii="楷体" w:hAnsi="楷体" w:eastAsia="楷体"/>
          <w:sz w:val="24"/>
          <w:szCs w:val="24"/>
        </w:rPr>
      </w:pPr>
      <w:r>
        <w:rPr>
          <w:rFonts w:hint="eastAsia" w:ascii="楷体" w:hAnsi="楷体" w:eastAsia="楷体"/>
          <w:sz w:val="24"/>
          <w:szCs w:val="24"/>
        </w:rPr>
        <w:t>近期，汽柴产销表现不佳，燃料油市场缺乏明确的利好消息，导致业者操作心态趋于观望，下游采购保持谨慎，刚需为主，炼厂出货因此受阻。预计今日市场交投将继续以弱盘整理为主。</w:t>
      </w:r>
    </w:p>
    <w:p>
      <w:pPr>
        <w:ind w:left="630" w:leftChars="300"/>
        <w:rPr>
          <w:rFonts w:hint="eastAsia" w:ascii="楷体" w:hAnsi="楷体" w:eastAsia="楷体"/>
          <w:sz w:val="24"/>
          <w:szCs w:val="24"/>
        </w:rPr>
      </w:pPr>
      <w:r>
        <w:rPr>
          <w:rFonts w:hint="eastAsia" w:ascii="楷体" w:hAnsi="楷体" w:eastAsia="楷体"/>
          <w:sz w:val="24"/>
          <w:szCs w:val="24"/>
        </w:rPr>
        <w:t>从产能利用情况来看，本周主营炼厂常减压产能利用率为77.48%，环比微降，同比跌幅达5.64%，显示出加工量仍未恢复至去年同期水平。</w:t>
      </w:r>
    </w:p>
    <w:p>
      <w:pPr>
        <w:ind w:left="630" w:leftChars="300"/>
        <w:rPr>
          <w:rFonts w:hint="eastAsia" w:ascii="楷体" w:hAnsi="楷体" w:eastAsia="楷体"/>
          <w:sz w:val="24"/>
          <w:szCs w:val="24"/>
        </w:rPr>
      </w:pPr>
      <w:r>
        <w:rPr>
          <w:rFonts w:hint="eastAsia" w:ascii="楷体" w:hAnsi="楷体" w:eastAsia="楷体"/>
          <w:sz w:val="24"/>
          <w:szCs w:val="24"/>
        </w:rPr>
        <w:t>亚洲燃料油现货市场方面，尽管低硫燃料油供应预期增加，但高硫燃料油库存充裕，对价格上行构成压力。新加坡现货市场上，高硫燃料油交易冷清，而超低硫燃料油则有一笔成交。此外，新加坡各类燃料油库存均出现下降，但整体仍处于相对高位。</w:t>
      </w:r>
    </w:p>
    <w:p>
      <w:pPr>
        <w:ind w:left="630" w:leftChars="300"/>
        <w:rPr>
          <w:rFonts w:hint="eastAsia" w:ascii="楷体" w:hAnsi="楷体" w:eastAsia="楷体"/>
          <w:sz w:val="24"/>
          <w:szCs w:val="24"/>
        </w:rPr>
      </w:pPr>
      <w:r>
        <w:rPr>
          <w:rFonts w:hint="eastAsia" w:ascii="楷体" w:hAnsi="楷体" w:eastAsia="楷体"/>
          <w:sz w:val="24"/>
          <w:szCs w:val="24"/>
        </w:rPr>
        <w:t>燃料油期货价格整体上跟随了原油价格的反弹趋势，但由于原油价格仍处于中期下跌趋势之中，燃料油期货价格预计难以摆脱弱势格局。市场参与者需密切关注原油价格动向及其对燃料油市场的影响。</w:t>
      </w:r>
    </w:p>
    <w:p>
      <w:pPr>
        <w:ind w:left="630" w:leftChars="300"/>
        <w:rPr>
          <w:rFonts w:hint="eastAsia" w:ascii="楷体" w:hAnsi="楷体" w:eastAsia="楷体"/>
          <w:sz w:val="24"/>
          <w:szCs w:val="24"/>
        </w:rPr>
      </w:pPr>
    </w:p>
    <w:p>
      <w:pPr>
        <w:ind w:firstLine="482" w:firstLineChars="200"/>
        <w:outlineLvl w:val="1"/>
        <w:rPr>
          <w:rFonts w:ascii="楷体" w:hAnsi="楷体" w:eastAsia="楷体"/>
          <w:b/>
          <w:sz w:val="24"/>
          <w:szCs w:val="24"/>
        </w:rPr>
      </w:pPr>
      <w:bookmarkStart w:id="35" w:name="_Toc26159"/>
      <w:r>
        <w:rPr>
          <w:rFonts w:hint="eastAsia" w:ascii="Times New Roman" w:hAnsi="Times New Roman" w:eastAsia="楷体"/>
          <w:b/>
          <w:color w:val="000000" w:themeColor="text1"/>
          <w:sz w:val="24"/>
          <w:szCs w:val="24"/>
          <w14:textFill>
            <w14:solidFill>
              <w14:schemeClr w14:val="tx1"/>
            </w14:solidFill>
          </w14:textFill>
        </w:rPr>
        <w:t>沥青：沥青期货价格上扬，弱稳格局待突破</w:t>
      </w:r>
      <w:bookmarkEnd w:id="35"/>
      <w:r>
        <w:rPr>
          <w:rFonts w:hint="eastAsia" w:ascii="Times New Roman" w:hAnsi="Times New Roman" w:eastAsia="楷体"/>
          <w:b/>
          <w:color w:val="000000" w:themeColor="text1"/>
          <w:sz w:val="24"/>
          <w:szCs w:val="24"/>
          <w14:textFill>
            <w14:solidFill>
              <w14:schemeClr w14:val="tx1"/>
            </w14:solidFill>
          </w14:textFill>
        </w:rPr>
        <w:t xml:space="preserve"> </w:t>
      </w:r>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sz w:val="24"/>
          <w:szCs w:val="24"/>
        </w:rPr>
      </w:pPr>
      <w:r>
        <w:rPr>
          <w:rFonts w:hint="eastAsia" w:ascii="楷体" w:hAnsi="楷体" w:eastAsia="楷体"/>
          <w:sz w:val="24"/>
          <w:szCs w:val="24"/>
        </w:rPr>
        <w:t>沥青期货主力合约BU2410上涨1.87%，收3111元/吨。</w:t>
      </w:r>
    </w:p>
    <w:p>
      <w:pPr>
        <w:ind w:left="630" w:leftChars="300"/>
        <w:rPr>
          <w:rFonts w:hint="eastAsia" w:ascii="楷体" w:hAnsi="楷体" w:eastAsia="楷体"/>
          <w:sz w:val="24"/>
          <w:szCs w:val="24"/>
        </w:rPr>
      </w:pPr>
      <w:r>
        <w:rPr>
          <w:rFonts w:hint="eastAsia" w:ascii="楷体" w:hAnsi="楷体" w:eastAsia="楷体"/>
          <w:sz w:val="24"/>
          <w:szCs w:val="24"/>
        </w:rPr>
        <w:t>当前，国内沥青市场呈现出弱稳运行的态势，均价为3634元/吨，较前一日微降2元/吨。本周，沥青产量出现显著下滑，周度总产量环比下降6.8%，同比降幅更是高达46.2%。这一趋势在1-9月份的累计产量中也得到了体现，同比减少近20.6%。</w:t>
      </w:r>
    </w:p>
    <w:p>
      <w:pPr>
        <w:ind w:left="630" w:leftChars="300"/>
        <w:rPr>
          <w:rFonts w:hint="eastAsia" w:ascii="楷体" w:hAnsi="楷体" w:eastAsia="楷体"/>
          <w:sz w:val="24"/>
          <w:szCs w:val="24"/>
        </w:rPr>
      </w:pPr>
      <w:r>
        <w:rPr>
          <w:rFonts w:hint="eastAsia" w:ascii="楷体" w:hAnsi="楷体" w:eastAsia="楷体"/>
          <w:sz w:val="24"/>
          <w:szCs w:val="24"/>
        </w:rPr>
        <w:t>库存方面，截至9月12日，国内沥青社会库存和厂库库存均呈现去库态势。社会库存较周一减少2.9%，其中华东地区去库明显，主要得益于业者优先消耗社会库存以及出口船发的良好表现。厂库库存则减少3.0%，山东地区去库尤为突出，这主要归因于个别主力炼厂的检修导致供应低位，以及出货以厂库库存为主。</w:t>
      </w:r>
    </w:p>
    <w:p>
      <w:pPr>
        <w:ind w:left="630" w:leftChars="300"/>
        <w:rPr>
          <w:rFonts w:hint="eastAsia" w:ascii="楷体" w:hAnsi="楷体" w:eastAsia="楷体"/>
          <w:sz w:val="24"/>
          <w:szCs w:val="24"/>
        </w:rPr>
      </w:pPr>
      <w:r>
        <w:rPr>
          <w:rFonts w:hint="eastAsia" w:ascii="楷体" w:hAnsi="楷体" w:eastAsia="楷体"/>
          <w:sz w:val="24"/>
          <w:szCs w:val="24"/>
        </w:rPr>
        <w:t>在供需差方面，本周沥青供需差环比大幅增加43.3%，但整体仍处于负值状态。成本端坍塌加剧了业者的看跌情绪，贸易商因此提升了主动去库的意愿，导致价格承压下行。</w:t>
      </w:r>
    </w:p>
    <w:p>
      <w:pPr>
        <w:ind w:left="630" w:leftChars="300"/>
        <w:rPr>
          <w:rFonts w:hint="eastAsia" w:ascii="楷体" w:hAnsi="楷体" w:eastAsia="楷体"/>
          <w:sz w:val="24"/>
          <w:szCs w:val="24"/>
        </w:rPr>
      </w:pPr>
      <w:r>
        <w:rPr>
          <w:rFonts w:hint="eastAsia" w:ascii="楷体" w:hAnsi="楷体" w:eastAsia="楷体"/>
          <w:sz w:val="24"/>
          <w:szCs w:val="24"/>
        </w:rPr>
        <w:t>综上所述，沥青期货市场在当前弱稳运行的态势下，受到产量下滑、库存去库以及供需差和成本端等多重因素的影响。未来，投资者需密切关注这些因素的变化，以制定合理的投资策略。</w:t>
      </w:r>
    </w:p>
    <w:p>
      <w:pPr>
        <w:ind w:left="630" w:leftChars="300"/>
        <w:rPr>
          <w:rFonts w:hint="eastAsia" w:ascii="楷体" w:hAnsi="楷体" w:eastAsia="楷体"/>
          <w:sz w:val="24"/>
          <w:szCs w:val="24"/>
        </w:rPr>
      </w:pPr>
    </w:p>
    <w:p>
      <w:pPr>
        <w:ind w:firstLine="482" w:firstLineChars="200"/>
        <w:outlineLvl w:val="1"/>
        <w:rPr>
          <w:rFonts w:ascii="楷体" w:hAnsi="楷体" w:eastAsia="楷体"/>
          <w:b/>
          <w:sz w:val="24"/>
          <w:szCs w:val="24"/>
        </w:rPr>
      </w:pPr>
      <w:bookmarkStart w:id="36" w:name="_Toc3337"/>
      <w:r>
        <w:rPr>
          <w:rFonts w:hint="eastAsia" w:ascii="Times New Roman" w:hAnsi="Times New Roman" w:eastAsia="楷体"/>
          <w:b/>
          <w:color w:val="000000" w:themeColor="text1"/>
          <w:sz w:val="24"/>
          <w:szCs w:val="24"/>
          <w14:textFill>
            <w14:solidFill>
              <w14:schemeClr w14:val="tx1"/>
            </w14:solidFill>
          </w14:textFill>
        </w:rPr>
        <w:t>PTA：跟随宏观及成本端波动</w:t>
      </w:r>
      <w:bookmarkEnd w:id="36"/>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ascii="楷体" w:hAnsi="楷体" w:eastAsia="楷体"/>
          <w:sz w:val="24"/>
          <w:szCs w:val="24"/>
        </w:rPr>
      </w:pPr>
      <w:r>
        <w:rPr>
          <w:rFonts w:hint="eastAsia" w:ascii="楷体" w:hAnsi="楷体" w:eastAsia="楷体"/>
          <w:sz w:val="24"/>
          <w:szCs w:val="24"/>
        </w:rPr>
        <w:t>原油方面，中东局势不稳定的影响仍存，短线偏震荡。OPEC连续第三个月下调全球原油需求增速预测，中线市场交易逻辑回归原油市场供需过剩预期，或有进一步转弱风险。恒力惠州2期250万吨落实检修，个别装置周内负荷小幅变动，至10.17 PTA负荷下调至80.4%（-2.8%）。长丝短纤局部负荷提升及瓶片新增产能，综合来看聚酯负荷继续回升。截至10.17，初步核算国内大陆地区聚酯负荷在92 %附近，随着天气转冷下游开工小幅提升，10月PTA累库格局放缓供需格局改善。综合来看，目前供减需增，短期内受地缘局势发展及宏观商品氛围影响，跟随成本端波动。</w:t>
      </w:r>
    </w:p>
    <w:p>
      <w:pPr>
        <w:rPr>
          <w:rFonts w:hint="eastAsia" w:ascii="楷体" w:hAnsi="楷体" w:eastAsia="楷体"/>
          <w:color w:val="000000" w:themeColor="text1"/>
          <w:sz w:val="24"/>
          <w:szCs w:val="24"/>
          <w14:textFill>
            <w14:solidFill>
              <w14:schemeClr w14:val="tx1"/>
            </w14:solidFill>
          </w14:textFill>
        </w:rPr>
      </w:pPr>
    </w:p>
    <w:p>
      <w:pPr>
        <w:ind w:firstLine="482" w:firstLineChars="200"/>
        <w:outlineLvl w:val="1"/>
        <w:rPr>
          <w:rFonts w:ascii="楷体" w:hAnsi="楷体" w:eastAsia="楷体"/>
          <w:b/>
          <w:sz w:val="24"/>
          <w:szCs w:val="24"/>
        </w:rPr>
      </w:pPr>
      <w:bookmarkStart w:id="37" w:name="_Toc4284"/>
      <w:r>
        <w:rPr>
          <w:rFonts w:hint="eastAsia" w:ascii="Times New Roman" w:hAnsi="Times New Roman" w:eastAsia="楷体"/>
          <w:b/>
          <w:color w:val="000000" w:themeColor="text1"/>
          <w:sz w:val="24"/>
          <w:szCs w:val="24"/>
          <w14:textFill>
            <w14:solidFill>
              <w14:schemeClr w14:val="tx1"/>
            </w14:solidFill>
          </w14:textFill>
        </w:rPr>
        <w:t>乙二醇：开工回升叠加库存小累 震荡偏弱</w:t>
      </w:r>
      <w:bookmarkEnd w:id="37"/>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sz w:val="24"/>
          <w:szCs w:val="24"/>
        </w:rPr>
        <w:t>供需情况，据隆众资讯最近库存数据可知截止10.17港口库存累积3.58 万吨。截至10月17日，中国大陆地区乙二醇整体开工负荷在68.64%（+0.8%），其中草酸催化加氢法（合成气）制乙二醇开工负荷在64.24%（+2.45%）。下游聚酯开工情况来看，聚酯端负荷整体保持良好，截至10.17，初步核算国内大陆地区聚酯负荷在92%附近，尤其是长丝负荷持续较高。聚酯端库存来看，长丝促销效果显著，整体库存节前维持去化。终端开工情况来看，截止10.17江浙下游加弹、织造、印染负荷分别在93%、83%、86%，整体开工高位维持，织造端坯布整体新订单和出货量较节前多有提振。综合来看，开工小幅提升但10月进口量回升缓慢，旺季预期下自身供需尚可，短线来看跟随成本端冲高回落。中线来看根据供需平衡表测算10月紧平衡叠加绝对库存低位，乙二醇震荡偏强。</w:t>
      </w:r>
    </w:p>
    <w:p>
      <w:pPr>
        <w:rPr>
          <w:rFonts w:hint="eastAsia" w:ascii="楷体" w:hAnsi="楷体" w:eastAsia="楷体"/>
          <w:color w:val="000000" w:themeColor="text1"/>
          <w:sz w:val="24"/>
          <w:szCs w:val="24"/>
          <w14:textFill>
            <w14:solidFill>
              <w14:schemeClr w14:val="tx1"/>
            </w14:solidFill>
          </w14:textFill>
        </w:rPr>
      </w:pPr>
    </w:p>
    <w:p>
      <w:pPr>
        <w:pBdr>
          <w:top w:val="single" w:color="auto" w:sz="4" w:space="1"/>
        </w:pBdr>
        <w:outlineLvl w:val="0"/>
        <w:rPr>
          <w:rFonts w:ascii="楷体" w:hAnsi="楷体" w:eastAsia="楷体"/>
          <w:bCs/>
          <w:sz w:val="24"/>
          <w:szCs w:val="24"/>
        </w:rPr>
      </w:pPr>
      <w:r>
        <w:rPr>
          <w:rFonts w:hint="eastAsia" w:ascii="Times New Roman" w:hAnsi="Times New Roman" w:eastAsia="楷体"/>
          <w:b/>
          <w:color w:val="823C0B"/>
          <w:sz w:val="30"/>
          <w:szCs w:val="30"/>
        </w:rPr>
        <w:t xml:space="preserve"> </w:t>
      </w:r>
      <w:bookmarkStart w:id="38" w:name="_Toc26828"/>
      <w:r>
        <w:rPr>
          <w:rFonts w:hint="eastAsia" w:ascii="Times New Roman" w:hAnsi="Times New Roman" w:eastAsia="楷体"/>
          <w:b/>
          <w:color w:val="823C0B"/>
          <w:sz w:val="30"/>
          <w:szCs w:val="30"/>
        </w:rPr>
        <w:t>[农产品]</w:t>
      </w:r>
      <w:bookmarkEnd w:id="14"/>
      <w:bookmarkEnd w:id="38"/>
    </w:p>
    <w:p>
      <w:pPr>
        <w:pStyle w:val="93"/>
        <w:spacing w:before="60" w:beforeAutospacing="0" w:after="60" w:afterAutospacing="0"/>
        <w:ind w:left="420" w:leftChars="200"/>
        <w:outlineLvl w:val="1"/>
        <w:rPr>
          <w:rFonts w:hint="eastAsia" w:ascii="楷体" w:hAnsi="楷体" w:eastAsia="楷体"/>
          <w:b/>
        </w:rPr>
      </w:pPr>
      <w:bookmarkStart w:id="39" w:name="_Toc4945"/>
      <w:r>
        <w:rPr>
          <w:rFonts w:hint="eastAsia" w:ascii="楷体" w:hAnsi="楷体" w:eastAsia="楷体"/>
          <w:b/>
          <w:bCs/>
          <w:color w:val="000000" w:themeColor="text1"/>
          <w14:textFill>
            <w14:solidFill>
              <w14:schemeClr w14:val="tx1"/>
            </w14:solidFill>
          </w14:textFill>
        </w:rPr>
        <w:t>玉米与淀粉：</w:t>
      </w:r>
      <w:r>
        <w:rPr>
          <w:rFonts w:hint="eastAsia" w:ascii="楷体" w:hAnsi="楷体" w:eastAsia="楷体"/>
          <w:b/>
        </w:rPr>
        <w:t>新作压力之下期价继续回落</w:t>
      </w:r>
      <w:bookmarkEnd w:id="39"/>
    </w:p>
    <w:p>
      <w:pPr>
        <w:pStyle w:val="93"/>
        <w:spacing w:before="60" w:beforeAutospacing="0" w:after="60" w:afterAutospacing="0"/>
        <w:ind w:left="630" w:leftChars="300"/>
        <w:rPr>
          <w:rFonts w:hint="eastAsia" w:ascii="楷体" w:hAnsi="楷体" w:eastAsia="楷体"/>
        </w:rPr>
      </w:pPr>
      <w:r>
        <w:rPr>
          <w:rFonts w:hint="eastAsia" w:ascii="楷体" w:hAnsi="楷体" w:eastAsia="楷体"/>
        </w:rPr>
        <w:t>玉米现货表现分化，华北产区多有上涨，东北产区与南北方港口稳中有跌；玉米期价早盘低开后震荡运行，全天小幅收跌。对于玉米而言，目前市场利多逐步显现，包括华北小麦上涨和调节储备收购，这可能带动部分中下游贸易与需求企业入市做库存，但考虑到新作压力仍有待释放，且市场预期仍未转向新作供需缺口预期，市场或仍处于化解新作上市压力的被动去库存阶段，尚未进入主动补库存阶段，在这个微妙的阶段，建议重点关注现货走势，因其对应新作压力的释放。在这种情况下，我们暂维持中性观点，建议投资者暂以观望为宜。</w:t>
      </w:r>
    </w:p>
    <w:p>
      <w:pPr>
        <w:pStyle w:val="93"/>
        <w:spacing w:before="60" w:beforeAutospacing="0" w:after="60" w:afterAutospacing="0"/>
        <w:ind w:left="630" w:leftChars="300"/>
        <w:rPr>
          <w:rFonts w:hint="eastAsia" w:ascii="楷体" w:hAnsi="楷体" w:eastAsia="楷体"/>
          <w:lang w:val="en-US" w:eastAsia="zh-CN"/>
        </w:rPr>
      </w:pPr>
      <w:r>
        <w:rPr>
          <w:rFonts w:hint="eastAsia" w:ascii="楷体" w:hAnsi="楷体" w:eastAsia="楷体"/>
        </w:rPr>
        <w:t>玉米淀粉现货整体稳定，局部地区报价上调30-50元不等；淀粉期价跟随玉米下跌，淀粉-玉米价差变动不大。对于淀粉而言，影响淀粉-玉米价差的三个方面因素整体向好，副产品依然利多，行业供需因表观需求量即出库量带动行业库存大幅下降，原料端则转向偏多，因国庆长假一来华北玉米反弹，而东北玉米持续弱势，华北-东北玉米价差有望走扩。再加上现货基差及其盘面加工利润，我们倾向于淀粉-玉米价差有望趋于走扩。在这种情况下，我们暂维持中性观点，建议单边投资者暂以观望为宜，套利投资者可以持有淀粉-玉米价差走扩套利。</w:t>
      </w:r>
    </w:p>
    <w:p>
      <w:pPr>
        <w:pStyle w:val="93"/>
        <w:spacing w:before="60" w:beforeAutospacing="0" w:after="60" w:afterAutospacing="0"/>
        <w:ind w:left="630" w:leftChars="300"/>
        <w:rPr>
          <w:rFonts w:hint="eastAsia" w:ascii="楷体" w:hAnsi="楷体" w:eastAsia="楷体"/>
          <w:lang w:val="en-US" w:eastAsia="zh-CN"/>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40" w:name="_Toc10004"/>
      <w:r>
        <w:rPr>
          <w:rFonts w:hint="eastAsia" w:ascii="楷体" w:hAnsi="楷体" w:eastAsia="楷体"/>
          <w:b/>
          <w:bCs/>
          <w:color w:val="000000" w:themeColor="text1"/>
          <w14:textFill>
            <w14:solidFill>
              <w14:schemeClr w14:val="tx1"/>
            </w14:solidFill>
          </w14:textFill>
        </w:rPr>
        <w:t>畜禽养殖：期价近强远弱分化运行</w:t>
      </w:r>
      <w:bookmarkEnd w:id="40"/>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国内生猪现货周末多有走弱，全国均价下跌0.28元至17.23元/斤；期价整体反弹，近月相对强于远月。对于生猪而言，从期价远期贴水结构可以看出，市场对生猪市场远期供需改善预期较为一致，这可以从若干方面得到印证，包括能繁母猪存栏见底回升，猪料产量环比增加，仔猪价格见顶回落等。随着期价的持续回落，市场分歧转向当前期价是否已经反映现货下跌预期，因目前最低的3月合约已经跌至过去两年春节前后低点14元/公斤的水平。从供应角度看，农业农村部公布的季度末生猪存栏量虽连续环比增加，但仍处于过去四年来最低水平，而今年3季度出栏仅次于去年，这意味着4季度供应环比增幅受限，这会抑制猪价下跌空间。而需求则存在较大的不确定性，受宏观经济影响，市场反映今年需求不及往年同期，这会抑制猪价上方空间。考虑到气温的下降，再加上季节性因素，生猪需求或有所改善。在这种情况下，我们持谨慎看多观点，建议投资者暂以观望为宜。</w:t>
      </w:r>
    </w:p>
    <w:p>
      <w:pPr>
        <w:pStyle w:val="93"/>
        <w:spacing w:before="0" w:beforeAutospacing="0" w:after="60" w:afterAutospacing="0"/>
        <w:ind w:left="630" w:leftChars="300"/>
        <w:rPr>
          <w:rFonts w:hint="eastAsia" w:ascii="楷体" w:hAnsi="楷体" w:eastAsia="楷体"/>
        </w:rPr>
      </w:pPr>
      <w:r>
        <w:rPr>
          <w:rFonts w:hint="eastAsia" w:ascii="楷体" w:hAnsi="楷体" w:eastAsia="楷体"/>
        </w:rPr>
        <w:t>鸡蛋现货周末延续强势，其中主产区均价上涨0.22元至4.68元/斤，主销区均价上涨0.25元至4.96元/斤；期价表现分化，近月显著强于远月。对于鸡蛋而言，分析市场可以看出，当前市场纠结之处在于，一方面市场对远期供需宽松预期使得市场担心后期现货下跌，而这已经体现在远月期价深度贴水上，另一方面现货相对抗跌，且基差处于历史高位，这对期价特别是近月带来一定的支撑。考虑到现货已进入季节性淡季，市场关注焦点将转向远月，这里面需要重点关注两个方面，其一是原料成本的变数，虽然当前饲料原料包括豆粕和玉米价格均处于相对低位，对应的养殖利润高企，但在新作压力之后其走势存在较大的不确定性。其二是供需预期的变数，因市场多倾向于认为今年年后以来现货整体表现强于预期，主要源于需求端的影响，而我们则倾向于认为更多源于供应端的因素，这可能源于春节前后补栏积极性下降而淘汰积极性上升，因当时蛋鸡苗价格处于历史低位，而多家机构数据均显示去年底以来蛋鸡淘汰量同比大幅增加。在这种情况下，我们转为谨慎看多观点，建议谨慎投资者观望，激进投资者可考虑轻仓做多近月合约。</w:t>
      </w:r>
    </w:p>
    <w:p>
      <w:pPr>
        <w:pStyle w:val="93"/>
        <w:spacing w:before="0" w:beforeAutospacing="0" w:after="60" w:afterAutospacing="0"/>
        <w:ind w:left="630" w:leftChars="300"/>
        <w:rPr>
          <w:rFonts w:hint="eastAsia" w:ascii="楷体" w:hAnsi="楷体" w:eastAsia="楷体"/>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41" w:name="_Toc28544"/>
      <w:r>
        <w:rPr>
          <w:rFonts w:hint="eastAsia" w:ascii="楷体" w:hAnsi="楷体" w:eastAsia="楷体"/>
          <w:b/>
          <w:bCs/>
          <w:color w:val="000000" w:themeColor="text1"/>
          <w14:textFill>
            <w14:solidFill>
              <w14:schemeClr w14:val="tx1"/>
            </w14:solidFill>
          </w14:textFill>
        </w:rPr>
        <w:t>白糖：未能突破6000关口，白糖掉头下试</w:t>
      </w:r>
      <w:bookmarkEnd w:id="41"/>
    </w:p>
    <w:p>
      <w:pPr>
        <w:pStyle w:val="93"/>
        <w:spacing w:before="0" w:beforeAutospacing="0" w:after="60" w:afterAutospacing="0"/>
        <w:ind w:left="630" w:leftChars="300"/>
        <w:rPr>
          <w:rFonts w:hint="eastAsia" w:ascii="楷体" w:hAnsi="楷体" w:eastAsia="楷体"/>
        </w:rPr>
      </w:pPr>
      <w:r>
        <w:rPr>
          <w:rFonts w:hint="eastAsia" w:ascii="楷体" w:hAnsi="楷体" w:eastAsia="楷体"/>
        </w:rPr>
        <w:t>隔日外盘，ICE原糖11号主力合约下跌1.31%，伦敦白砂糖主力合约下跌0.68%，郑糖2501主力合约下跌0.03%。巴西对外贸易秘书处(Secex)公布的出口数据显示，巴西10月前两周出口糖164.58万吨，日均出口量为18.29万吨，较上年10月全月的日均出口量13.69万吨增加34%。上年10月全月出口量为287.43万吨。国内，尽管因台风天气产量下修，但整体仍是丰产预期。进口成本增加叠加旧作库存紧张的利多此前未能助力白糖向上突破大整数关口，短期内回落下试支撑。</w:t>
      </w:r>
    </w:p>
    <w:p>
      <w:pPr>
        <w:pStyle w:val="93"/>
        <w:spacing w:before="0" w:beforeAutospacing="0" w:after="60" w:afterAutospacing="0"/>
        <w:ind w:left="630" w:leftChars="300"/>
        <w:rPr>
          <w:rFonts w:hint="eastAsia" w:ascii="楷体" w:hAnsi="楷体" w:eastAsia="楷体"/>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42" w:name="_Toc4622"/>
      <w:r>
        <w:rPr>
          <w:rFonts w:hint="eastAsia" w:ascii="楷体" w:hAnsi="楷体" w:eastAsia="楷体"/>
          <w:b/>
          <w:bCs/>
          <w:color w:val="000000" w:themeColor="text1"/>
          <w14:textFill>
            <w14:solidFill>
              <w14:schemeClr w14:val="tx1"/>
            </w14:solidFill>
          </w14:textFill>
        </w:rPr>
        <w:t>棉花：预计郑棉区间震荡</w:t>
      </w:r>
      <w:bookmarkEnd w:id="42"/>
    </w:p>
    <w:p>
      <w:pPr>
        <w:pStyle w:val="93"/>
        <w:spacing w:before="0" w:beforeAutospacing="0" w:after="60" w:afterAutospacing="0"/>
        <w:ind w:left="630" w:leftChars="300"/>
        <w:rPr>
          <w:rFonts w:hint="eastAsia" w:ascii="楷体" w:hAnsi="楷体" w:eastAsia="楷体"/>
        </w:rPr>
      </w:pPr>
      <w:r>
        <w:rPr>
          <w:rFonts w:hint="eastAsia" w:ascii="楷体" w:hAnsi="楷体" w:eastAsia="楷体"/>
        </w:rPr>
        <w:t>隔日外盘，ICE美棉主力上涨1.89%，郑棉2501主力合约上涨0.71%。据美国农业部（USDA）报告，10月11日至10月18日，美国2024/25年度新花分级检验14.75万吨，其中陆地棉14.73万吨，长绒棉0.02万吨。当周78.5%皮棉达到ICE期棉交割要求（SLM 1-1/16"或以上等级)，环比（71.5%）上升7个百分点，较上一年度同期（79.3%）下降0.8个百分点。至10月18日，2024/25年度美国新花累计分级检验51.57万吨。本年度75.0%的皮棉达到ICE期棉交割要求，较前一周（73.6%）上升1.4个百分点，较上一年度同期（80.2%）下降5.2个百分点。国内，下游纺织开机率、纺织利润等指标显著改善，棉花原料和纺织成品库存亦降至历史中位水平。但据各方调研，本年度棉花丰产，产量预计同比增加5%-7%。籽棉收购价相对稳定，集中在6.2-6.5元/公斤区间。轧花厂依然持谨慎态度，风险偏好低。丰产预期叠加套保压力，棉花承压，预计围绕1.4万关口弱势震荡。</w:t>
      </w:r>
    </w:p>
    <w:p>
      <w:pPr>
        <w:pStyle w:val="93"/>
        <w:spacing w:before="0" w:beforeAutospacing="0" w:after="60" w:afterAutospacing="0"/>
        <w:rPr>
          <w:rFonts w:hint="eastAsia" w:ascii="楷体" w:hAnsi="楷体" w:eastAsia="楷体"/>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43" w:name="_Toc25122"/>
      <w:r>
        <w:rPr>
          <w:rFonts w:hint="eastAsia" w:ascii="楷体" w:hAnsi="楷体" w:eastAsia="楷体"/>
          <w:b/>
          <w:bCs/>
          <w:color w:val="000000" w:themeColor="text1"/>
          <w14:textFill>
            <w14:solidFill>
              <w14:schemeClr w14:val="tx1"/>
            </w14:solidFill>
          </w14:textFill>
        </w:rPr>
        <w:t>蛋白粕：加方态度缓和，菜系难有支撑</w:t>
      </w:r>
      <w:bookmarkEnd w:id="43"/>
    </w:p>
    <w:p>
      <w:pPr>
        <w:pStyle w:val="93"/>
        <w:spacing w:before="0" w:beforeAutospacing="0" w:after="60" w:afterAutospacing="0"/>
        <w:ind w:left="630" w:leftChars="300"/>
        <w:rPr>
          <w:rFonts w:hint="eastAsia" w:ascii="楷体" w:hAnsi="楷体" w:eastAsia="楷体"/>
        </w:rPr>
      </w:pPr>
      <w:r>
        <w:rPr>
          <w:rFonts w:hint="eastAsia" w:ascii="楷体" w:hAnsi="楷体" w:eastAsia="楷体"/>
        </w:rPr>
        <w:t>昨日外盘美豆上涨1.06%，收复前一日跌幅。国内夜盘豆二上涨0.73%，豆粕下跌0.27%；菜籽上涨0.42%，菜粕下跌0.94%。截止10月20日，美豆收割率81%，为2010年来最高水平。同时低价大豆使得美国、巴西出口表现较好。国内大豆库存602.95万吨，环比减少10.01%；豆粕库存93.72万吨，环比减少7.79%；豆粕表观消费量为170.63万吨，较上周减少91.34万吨，减幅34.87%。菜系方面，10月19日加拿大政府启动程序允许减免对中国进口的电动汽车、钢铁和铝的附加税，加拿大做出缓和表态使得此前市场交易的供应转紧得到缓解。加之菜粕自身疲弱的基本面（库存大幅累积），期价偏弱运行。</w:t>
      </w:r>
    </w:p>
    <w:p>
      <w:pPr>
        <w:pStyle w:val="93"/>
        <w:spacing w:before="0" w:beforeAutospacing="0" w:after="60" w:afterAutospacing="0"/>
        <w:rPr>
          <w:rFonts w:hint="eastAsia" w:ascii="楷体" w:hAnsi="楷体" w:eastAsia="楷体"/>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44" w:name="_Toc2336"/>
      <w:r>
        <w:rPr>
          <w:rFonts w:hint="eastAsia" w:ascii="楷体" w:hAnsi="楷体" w:eastAsia="楷体"/>
          <w:b/>
          <w:bCs/>
          <w:color w:val="000000" w:themeColor="text1"/>
          <w14:textFill>
            <w14:solidFill>
              <w14:schemeClr w14:val="tx1"/>
            </w14:solidFill>
          </w14:textFill>
        </w:rPr>
        <w:t>油脂类：总库存持续去库，棕油价格最为坚挺</w:t>
      </w:r>
      <w:bookmarkEnd w:id="44"/>
    </w:p>
    <w:p>
      <w:pPr>
        <w:pStyle w:val="93"/>
        <w:spacing w:before="0" w:beforeAutospacing="0" w:after="60" w:afterAutospacing="0"/>
        <w:ind w:left="630" w:leftChars="300"/>
        <w:rPr>
          <w:rFonts w:hint="eastAsia" w:ascii="楷体" w:hAnsi="楷体" w:eastAsia="楷体"/>
        </w:rPr>
      </w:pPr>
      <w:r>
        <w:rPr>
          <w:rFonts w:hint="eastAsia" w:ascii="楷体" w:hAnsi="楷体" w:eastAsia="楷体"/>
        </w:rPr>
        <w:t>昨日夜盘豆油上涨0.73%，菜油下跌0.55%，棕榈油上涨0.91%，棕油表现依旧强势。据Mysteel调研显示，截至10月18日，全国重点地区三大油脂商业库存总量为205.19万吨，较上周减少2.49万吨，跌幅1.20%；同比去年同期下降7.05万吨，跌幅3.32%。SGS报告显示，10月1-20日，马棕出口较上月同期增加15.1%；SPPOMA报告显示，同期马棕产量环比下降6.31%，马棕油表现较为坚挺。国内棕油到港偏慢，累库速度缓慢，同样坚挺。豆油方面，国内方面，10月到港量较9月下降，后续有继续下降预期；需求季节性好转，供需宽松边际递减。中长期豆油价格上有压力下有支撑，整体高位震荡。菜油方面，加方态度缓和使市场利多情绪减弱。四季度菜籽、菜油到港充足，供应端有压力。</w:t>
      </w:r>
    </w:p>
    <w:p>
      <w:pPr>
        <w:pStyle w:val="93"/>
        <w:spacing w:before="0" w:beforeAutospacing="0" w:after="60" w:afterAutospacing="0"/>
        <w:rPr>
          <w:rFonts w:hint="eastAsia" w:ascii="楷体" w:hAnsi="楷体" w:eastAsia="楷体"/>
        </w:rPr>
      </w:pPr>
    </w:p>
    <w:p>
      <w:pPr>
        <w:pBdr>
          <w:top w:val="single" w:color="auto" w:sz="4" w:space="0"/>
        </w:pBdr>
        <w:outlineLvl w:val="0"/>
        <w:rPr>
          <w:rFonts w:ascii="Times New Roman" w:hAnsi="Times New Roman" w:eastAsia="楷体"/>
          <w:b/>
          <w:color w:val="823C0B"/>
        </w:rPr>
      </w:pPr>
      <w:bookmarkStart w:id="45" w:name="_Toc21289"/>
      <w:r>
        <w:rPr>
          <w:rFonts w:hint="eastAsia" w:ascii="Times New Roman" w:hAnsi="Times New Roman" w:eastAsia="楷体"/>
          <w:b/>
          <w:color w:val="823C0B"/>
          <w:sz w:val="30"/>
          <w:szCs w:val="30"/>
        </w:rPr>
        <w:t>[指数]</w:t>
      </w:r>
      <w:bookmarkEnd w:id="45"/>
    </w:p>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46" w:name="_Toc27122"/>
      <w:r>
        <w:rPr>
          <w:rFonts w:hint="eastAsia" w:ascii="Times New Roman" w:hAnsi="Times New Roman" w:eastAsia="楷体"/>
          <w:b/>
          <w:color w:val="000000" w:themeColor="text1"/>
          <w:sz w:val="24"/>
          <w:szCs w:val="24"/>
          <w14:textFill>
            <w14:solidFill>
              <w14:schemeClr w14:val="tx1"/>
            </w14:solidFill>
          </w14:textFill>
        </w:rPr>
        <w:t>集运指数（欧线）：11月现舱报价基本持平此前宣涨情况，期价大幅上涨</w:t>
      </w:r>
      <w:bookmarkEnd w:id="46"/>
    </w:p>
    <w:p>
      <w:pPr>
        <w:ind w:left="630" w:leftChars="300"/>
        <w:rPr>
          <w:rFonts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期价早盘高开后横盘运行，午后扩大涨势，12合约涨14.67%至3197.7，远月合约涨约7%。10月40GP剩余现舱报价约3640美元、订舱较积极；11月上旬40GP线上均价约4510美元；11月下旬ONE40GP线上报4704美元。因11月初船司报价基本持平此前宣涨情况，现舱报价带动近期期价上行，近期地缘冲突加剧等消息面因素也相对利好期价走势，后续关注进入11月后涨价落地情况，多空博弈期间留意短期波动加剧风险，建议投资者谨慎操作。</w:t>
      </w:r>
    </w:p>
    <w:p>
      <w:pPr>
        <w:ind w:firstLine="602" w:firstLineChars="200"/>
        <w:rPr>
          <w:rFonts w:ascii="Times New Roman" w:hAnsi="Times New Roman" w:eastAsia="楷体"/>
          <w:b/>
          <w:color w:val="800000"/>
          <w:sz w:val="30"/>
          <w:szCs w:val="30"/>
        </w:rPr>
      </w:pPr>
      <w:r>
        <w:rPr>
          <w:rFonts w:ascii="Times New Roman" w:hAnsi="Times New Roman" w:eastAsia="楷体"/>
          <w:b/>
          <w:color w:val="800000"/>
          <w:sz w:val="30"/>
          <w:szCs w:val="30"/>
        </w:rPr>
        <w:br w:type="page"/>
      </w:r>
    </w:p>
    <w:p>
      <w:pPr>
        <w:spacing w:line="360" w:lineRule="auto"/>
        <w:jc w:val="center"/>
        <w:rPr>
          <w:rFonts w:ascii="Times New Roman" w:hAnsi="Times New Roman" w:eastAsia="楷体"/>
          <w:b/>
          <w:color w:val="411D05"/>
          <w:sz w:val="30"/>
          <w:szCs w:val="30"/>
        </w:rPr>
      </w:pPr>
      <w:bookmarkStart w:id="47" w:name="_Toc72481108"/>
      <w:bookmarkStart w:id="48" w:name="_Toc71212556"/>
      <w:bookmarkStart w:id="49" w:name="_Toc12779"/>
      <w:bookmarkStart w:id="50" w:name="_Toc98426751"/>
      <w:bookmarkStart w:id="51" w:name="_Toc19667"/>
      <w:r>
        <w:rPr>
          <w:rFonts w:ascii="Times New Roman" w:hAnsi="Times New Roman" w:eastAsia="楷体"/>
          <w:b/>
          <w:color w:val="411D05"/>
          <w:sz w:val="30"/>
          <w:szCs w:val="30"/>
        </w:rPr>
        <w:t>免责声明</w:t>
      </w:r>
      <w:bookmarkEnd w:id="47"/>
      <w:bookmarkEnd w:id="48"/>
      <w:bookmarkEnd w:id="49"/>
      <w:bookmarkEnd w:id="50"/>
      <w:bookmarkEnd w:id="51"/>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pPr>
        <w:ind w:firstLine="422" w:firstLineChars="200"/>
        <w:rPr>
          <w:rFonts w:ascii="Times New Roman" w:hAnsi="Times New Roman" w:eastAsia="楷体"/>
        </w:rPr>
      </w:pPr>
      <w:r>
        <w:rPr>
          <w:rFonts w:hint="eastAsia" w:ascii="Times New Roman" w:hAnsi="Times New Roman" w:eastAsia="楷体"/>
          <w:b/>
          <w:bCs/>
          <w:color w:val="C00000"/>
        </w:rPr>
        <w:t>广州期货股份有限公司提醒广大投资者：期市有风险，入市需谨慎！</w:t>
      </w:r>
    </w:p>
    <w:p>
      <w:pPr>
        <w:ind w:firstLine="420" w:firstLineChars="200"/>
        <w:rPr>
          <w:rFonts w:ascii="Times New Roman" w:hAnsi="Times New Roman" w:eastAsia="楷体"/>
        </w:rPr>
      </w:pPr>
    </w:p>
    <w:p>
      <w:pPr>
        <w:ind w:firstLine="420" w:firstLineChars="200"/>
        <w:rPr>
          <w:rFonts w:ascii="Times New Roman" w:hAnsi="Times New Roman" w:eastAsia="楷体"/>
        </w:rPr>
      </w:pPr>
    </w:p>
    <w:p>
      <w:pPr>
        <w:jc w:val="left"/>
        <w:rPr>
          <w:rFonts w:ascii="Times New Roman" w:hAnsi="Times New Roman" w:eastAsia="楷体"/>
          <w:b/>
          <w:color w:val="823C0B"/>
          <w:sz w:val="28"/>
        </w:rPr>
      </w:pPr>
      <w:r>
        <w:rPr>
          <w:rFonts w:ascii="Times New Roman" w:hAnsi="Times New Roman" w:eastAsia="楷体"/>
          <w:b/>
          <w:color w:val="823C0B"/>
          <w:sz w:val="28"/>
        </w:rPr>
        <w:t xml:space="preserve">投资咨询业务资格:证监许可【2012】1497号 </w:t>
      </w:r>
    </w:p>
    <w:p>
      <w:pPr>
        <w:ind w:firstLine="440" w:firstLineChars="200"/>
        <w:rPr>
          <w:rFonts w:ascii="Times New Roman" w:hAnsi="Times New Roman" w:eastAsia="楷体" w:cs="Times New Roman"/>
          <w:sz w:val="22"/>
        </w:rPr>
      </w:pPr>
    </w:p>
    <w:tbl>
      <w:tblPr>
        <w:tblStyle w:val="89"/>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0"/>
        <w:gridCol w:w="42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谢紫琪</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：F3032560</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：Z0014338</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范红军</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F03098791</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：Z0017690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许克元</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：F3022666</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：Z0013612</w:t>
            </w:r>
          </w:p>
        </w:tc>
        <w:tc>
          <w:tcPr>
            <w:tcW w:w="4262" w:type="dxa"/>
          </w:tcPr>
          <w:p>
            <w:pPr>
              <w:rPr>
                <w:rFonts w:ascii="Times New Roman" w:hAnsi="Times New Roman" w:eastAsia="楷体" w:cs="Times New Roman"/>
                <w:color w:val="823C0B"/>
                <w:sz w:val="22"/>
              </w:rPr>
            </w:pP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ind w:firstLine="420" w:firstLineChars="200"/>
        <w:rPr>
          <w:rFonts w:ascii="Times New Roman" w:hAnsi="Times New Roman" w:eastAsia="楷体"/>
        </w:rPr>
      </w:pPr>
    </w:p>
    <w:tbl>
      <w:tblPr>
        <w:tblStyle w:val="88"/>
        <w:tblW w:w="5000" w:type="pct"/>
        <w:jc w:val="center"/>
        <w:tblLayout w:type="autofit"/>
        <w:tblCellMar>
          <w:top w:w="0" w:type="dxa"/>
          <w:left w:w="108" w:type="dxa"/>
          <w:bottom w:w="0" w:type="dxa"/>
          <w:right w:w="108" w:type="dxa"/>
        </w:tblCellMar>
      </w:tblPr>
      <w:tblGrid>
        <w:gridCol w:w="8522"/>
      </w:tblGrid>
      <w:tr>
        <w:trPr>
          <w:jc w:val="center"/>
        </w:trPr>
        <w:tc>
          <w:tcPr>
            <w:tcW w:w="5000" w:type="pct"/>
            <w:shd w:val="clear" w:color="auto" w:fill="auto"/>
            <w:vAlign w:val="center"/>
          </w:tcPr>
          <w:p>
            <w:pPr>
              <w:rPr>
                <w:rFonts w:ascii="Times New Roman" w:hAnsi="Times New Roman" w:eastAsia="楷体"/>
                <w:b/>
                <w:bCs/>
                <w:color w:val="823C0B"/>
              </w:rPr>
            </w:pPr>
            <w:r>
              <w:rPr>
                <w:rFonts w:ascii="Times New Roman" w:hAnsi="Times New Roman" w:eastAsia="楷体"/>
                <w:bCs/>
                <w:color w:val="823C0B"/>
              </w:rPr>
              <w:t>办公地址：广州市天河区</w:t>
            </w:r>
            <w:r>
              <w:rPr>
                <w:rFonts w:hint="eastAsia" w:ascii="Times New Roman" w:hAnsi="Times New Roman" w:eastAsia="楷体"/>
                <w:bCs/>
                <w:color w:val="823C0B"/>
              </w:rPr>
              <w:t>临江大道1号寺右万科中心南塔</w:t>
            </w:r>
            <w:r>
              <w:rPr>
                <w:rFonts w:ascii="Times New Roman" w:hAnsi="Times New Roman" w:eastAsia="楷体"/>
                <w:bCs/>
                <w:color w:val="823C0B"/>
              </w:rPr>
              <w:t>6</w:t>
            </w:r>
            <w:r>
              <w:rPr>
                <w:rFonts w:hint="eastAsia" w:ascii="Times New Roman" w:hAnsi="Times New Roman" w:eastAsia="楷体"/>
                <w:bCs/>
                <w:color w:val="823C0B"/>
              </w:rPr>
              <w:t>层</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color w:val="823C0B"/>
              </w:rPr>
            </w:pPr>
            <w:r>
              <w:rPr>
                <w:rFonts w:hint="eastAsia" w:ascii="Times New Roman" w:hAnsi="Times New Roman" w:eastAsia="楷体"/>
                <w:bCs/>
                <w:color w:val="823C0B"/>
              </w:rPr>
              <w:t>联系方式: (020)22836102</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bCs/>
                <w:color w:val="823C0B"/>
              </w:rPr>
            </w:pPr>
            <w:r>
              <w:rPr>
                <w:rFonts w:ascii="Times New Roman" w:hAnsi="Times New Roman" w:eastAsia="楷体"/>
                <w:bCs/>
                <w:color w:val="823C0B"/>
              </w:rPr>
              <w:t>邮政编码：510627</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pBdr>
          <w:top w:val="none" w:color="auto" w:sz="0" w:space="1"/>
          <w:left w:val="none" w:color="auto" w:sz="0" w:space="4"/>
          <w:bottom w:val="none" w:color="auto" w:sz="0" w:space="1"/>
          <w:right w:val="none" w:color="auto" w:sz="0" w:space="4"/>
        </w:pBdr>
      </w:pPr>
    </w:p>
    <w:sectPr>
      <w:footerReference r:id="rId7" w:type="first"/>
      <w:footerReference r:id="rId6" w:type="default"/>
      <w:pgSz w:w="11906" w:h="16838"/>
      <w:pgMar w:top="1440" w:right="1800" w:bottom="1440" w:left="1800" w:header="850" w:footer="1077"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w:rPr>
        <w:rFonts w:hint="eastAsia" w:ascii="楷体" w:hAnsi="楷体" w:eastAsia="楷体" w:cs="Times New Roman"/>
        <w:b/>
        <w:color w:val="833C0B"/>
        <w:sz w:val="21"/>
        <w:lang w:bidi="ar"/>
      </w:rPr>
      <w:t>广州期货提醒各位投资者，期市有风险，入市需谨慎！请阅读文末免责声明</w:t>
    </w: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v:textbox>
            </v:shape>
          </w:pict>
        </mc:Fallback>
      </mc:AlternateContent>
    </w:r>
    <w:r>
      <w:rPr>
        <w:rFonts w:hint="eastAsia" w:ascii="楷体" w:hAnsi="楷体" w:eastAsia="楷体" w:cs="Times New Roman"/>
        <w:b/>
        <w:color w:val="833C0B"/>
        <w:sz w:val="21"/>
        <w:lang w:bidi="a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85.4pt;margin-top:-0.85pt;height:144pt;width:144pt;mso-position-horizontal-relative:margin;mso-wrap-style:none;z-index:251662336;mso-width-relative:page;mso-height-relative:page;" filled="f" stroked="f" coordsize="21600,21600" o:gfxdata="UEsDBAoAAAAAAIdO4kAAAAAAAAAAAAAAAAAEAAAAZHJzL1BLAwQUAAAACACHTuJAylR61NgAAAAL&#10;AQAADwAAAGRycy9kb3ducmV2LnhtbE2PwU7DMBBE70j8g7VI3Fo7LTRRiFOJinBEoumhRzdekkC8&#10;jmw3DX+Pe6LHnR3NvCm2sxnYhM73liQkSwEMqbG6p1bCoa4WGTAfFGk1WEIJv+hhW97fFSrX9kKf&#10;OO1Dy2II+VxJ6EIYc85906FRfmlHpPj7ss6oEE/Xcu3UJYabga+E2HCjeooNnRpx12Hzsz8bCbuq&#10;rt2E3g1HfK/W3x+vT/g2S/n4kIgXYAHn8G+GK35EhzIyneyZtGeDhDQVET1IWCQpsKtBPGdROUlY&#10;ZZs18LLgtxvKP1BLAwQUAAAACACHTuJAFwyJuCwCAABVBAAADgAAAGRycy9lMm9Eb2MueG1srVTN&#10;jtMwEL4j8Q6W7zRpWVZV1XRVtipCqtiVFsTZdZwmkv9ku03KA8AbcOLCnefqc/DZabpo4bAHLs7Y&#10;M/7G3zczmd90SpKDcL4xuqDjUU6J0NyUjd4V9NPH9aspJT4wXTJptCjoUXh6s3j5Yt7amZiY2shS&#10;OAIQ7WetLWgdgp1lmee1UMyPjBUazso4xQK2bpeVjrVAVzKb5Pl11hpXWme48B6nq95Jz4juOYCm&#10;qhouVobvldChR3VCsgBKvm6sp4v02qoSPNxVlReByIKCaUgrksDexjVbzNls55itG35+AnvOE55w&#10;UqzRSHqBWrHAyN41f0GphjvjTRVG3KisJ5IUAYtx/kSbh5pZkbhAam8vovv/B8s/HO4dacqCXlGi&#10;mULBT9+/nX78Ov38Sq6iPK31M0Q9WMSF7q3p0DTDucdhZN1VTsUv+BD4Ie7xIq7oAuHx0nQyneZw&#10;cfiGDfCzx+vW+fBOGEWiUVCH6iVR2WHjQx86hMRs2qwbKVMFpSZtQa9fv8nThYsH4FIjRyTRPzZa&#10;odt2Z2ZbUx5BzJm+M7zl6wbJN8yHe+bQCngwhiXcYamkQRJztiipjfvyr/MYjwrBS0mL1iqoxiRR&#10;It9rVA6AYTDcYGwHQ+/VrUGvjjGElicTF1yQg1k5oz5jgpYxB1xMc2QqaBjM29C3NyaQi+UyBaHX&#10;LAsb/WB5hI7iebvcBwiYdI2i9EqctUK3pcqcJyO285/7FPX4N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pUetTYAAAACwEAAA8AAAAAAAAAAQAgAAAAIgAAAGRycy9kb3ducmV2LnhtbFBLAQIU&#10;ABQAAAAIAIdO4kAXDIm4LAIAAFUEAAAOAAAAAAAAAAEAIAAAACcBAABkcnMvZTJvRG9jLnhtbFBL&#10;BQYAAAAABgAGAFkBAADF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v:textbox>
            </v:shape>
          </w:pict>
        </mc:Fallback>
      </mc:AlternateContent>
    </w:r>
    <w:r>
      <w:rPr>
        <w:rFonts w:hint="eastAsia" w:ascii="楷体" w:hAnsi="楷体" w:eastAsia="楷体" w:cs="Times New Roman"/>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5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pPr>
    <w:r>
      <w:drawing>
        <wp:anchor distT="0" distB="0" distL="114300" distR="114300" simplePos="0" relativeHeight="251659264" behindDoc="0" locked="0" layoutInCell="1" allowOverlap="1">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pPr>
      <w:pStyle w:val="57"/>
      <w:pBdr>
        <w:bottom w:val="single" w:color="auto" w:sz="4" w:space="1"/>
      </w:pBdr>
      <w:jc w:val="right"/>
      <w:rPr>
        <w:b/>
        <w:bCs/>
      </w:rPr>
    </w:pPr>
    <w:r>
      <w:ptab w:relativeTo="margin" w:alignment="center" w:leader="none"/>
    </w:r>
    <w:r>
      <w:rPr>
        <w:rFonts w:hint="eastAsia" w:ascii="Times New Roman" w:hAnsi="Times New Roman" w:eastAsia="楷体"/>
        <w:b/>
        <w:bCs/>
        <w:color w:val="833C0B"/>
        <w:sz w:val="21"/>
      </w:rPr>
      <w:t>早间直通车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rPr>
        <w:rFonts w:ascii="Times New Roman" w:hAnsi="Times New Roman" w:eastAsia="楷体"/>
        <w:b/>
        <w:bCs/>
        <w:color w:val="833C0B"/>
        <w:sz w:val="21"/>
      </w:rPr>
    </w:pPr>
    <w:r>
      <w:ptab w:relativeTo="margin" w:alignment="center" w:leader="none"/>
    </w:r>
    <w:r>
      <w:drawing>
        <wp:anchor distT="0" distB="0" distL="114300" distR="114300" simplePos="0" relativeHeight="251661312" behindDoc="0" locked="0" layoutInCell="1" allowOverlap="1">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hint="eastAsia" w:ascii="Times New Roman" w:hAnsi="Times New Roman" w:eastAsia="楷体"/>
        <w:b/>
        <w:bCs/>
        <w:color w:val="833C0B"/>
        <w:sz w:val="21"/>
      </w:rPr>
      <w:t>早间直通车</w:t>
    </w:r>
  </w:p>
  <w:p>
    <w:pPr>
      <w:pStyle w:val="57"/>
      <w:pBdr>
        <w:bottom w:val="single" w:color="auto" w:sz="4" w:space="1"/>
      </w:pBdr>
      <w:jc w:val="right"/>
    </w:pPr>
    <w:r>
      <w:rPr>
        <w:rFonts w:ascii="Times New Roman" w:hAnsi="Times New Roman" w:eastAsia="楷体"/>
        <w:b/>
        <w:bCs/>
        <w:color w:val="833C0B"/>
        <w:sz w:val="21"/>
      </w:rPr>
      <w:fldChar w:fldCharType="begin"/>
    </w:r>
    <w:r>
      <w:rPr>
        <w:rFonts w:ascii="Times New Roman" w:hAnsi="Times New Roman" w:eastAsia="楷体"/>
        <w:b/>
        <w:bCs/>
        <w:color w:val="833C0B"/>
        <w:sz w:val="21"/>
      </w:rPr>
      <w:instrText xml:space="preserve"> </w:instrText>
    </w:r>
    <w:r>
      <w:rPr>
        <w:rFonts w:hint="eastAsia" w:ascii="Times New Roman" w:hAnsi="Times New Roman" w:eastAsia="楷体"/>
        <w:b/>
        <w:bCs/>
        <w:color w:val="833C0B"/>
        <w:sz w:val="21"/>
      </w:rPr>
      <w:instrText xml:space="preserve">TIME \@ "yyyy年M月d日星期W"</w:instrText>
    </w:r>
    <w:r>
      <w:rPr>
        <w:rFonts w:ascii="Times New Roman" w:hAnsi="Times New Roman" w:eastAsia="楷体"/>
        <w:b/>
        <w:bCs/>
        <w:color w:val="833C0B"/>
        <w:sz w:val="21"/>
      </w:rPr>
      <w:instrText xml:space="preserve"> </w:instrText>
    </w:r>
    <w:r>
      <w:rPr>
        <w:rFonts w:ascii="Times New Roman" w:hAnsi="Times New Roman" w:eastAsia="楷体"/>
        <w:b/>
        <w:bCs/>
        <w:color w:val="833C0B"/>
        <w:sz w:val="21"/>
      </w:rPr>
      <w:fldChar w:fldCharType="separate"/>
    </w:r>
    <w:r>
      <w:rPr>
        <w:rFonts w:hint="eastAsia" w:ascii="Times New Roman" w:hAnsi="Times New Roman" w:eastAsia="楷体"/>
        <w:b/>
        <w:bCs/>
        <w:color w:val="833C0B"/>
        <w:sz w:val="21"/>
      </w:rPr>
      <w:t>2024年10月22日星期二</w:t>
    </w:r>
    <w:r>
      <w:rPr>
        <w:rFonts w:ascii="Times New Roman" w:hAnsi="Times New Roman" w:eastAsia="楷体"/>
        <w:b/>
        <w:bCs/>
        <w:color w:val="833C0B"/>
        <w:sz w:val="21"/>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5"/>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47"/>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36"/>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14"/>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46"/>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17"/>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33"/>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40"/>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20"/>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24"/>
      <w:lvlText w:val=""/>
      <w:lvlJc w:val="left"/>
      <w:pPr>
        <w:tabs>
          <w:tab w:val="left" w:pos="360"/>
        </w:tabs>
        <w:ind w:left="360" w:hanging="360" w:hangingChars="200"/>
      </w:pPr>
      <w:rPr>
        <w:rFonts w:hint="default" w:ascii="Wingdings" w:hAnsi="Wingdings"/>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3BBB"/>
    <w:rsid w:val="0000534E"/>
    <w:rsid w:val="000058D8"/>
    <w:rsid w:val="00006269"/>
    <w:rsid w:val="00010BF8"/>
    <w:rsid w:val="00012A9A"/>
    <w:rsid w:val="000151C6"/>
    <w:rsid w:val="00020E82"/>
    <w:rsid w:val="00024902"/>
    <w:rsid w:val="000249A6"/>
    <w:rsid w:val="00024C21"/>
    <w:rsid w:val="00032A7A"/>
    <w:rsid w:val="00035EB2"/>
    <w:rsid w:val="000417D7"/>
    <w:rsid w:val="00050B6C"/>
    <w:rsid w:val="0005286B"/>
    <w:rsid w:val="0005726F"/>
    <w:rsid w:val="00057E99"/>
    <w:rsid w:val="00060F08"/>
    <w:rsid w:val="00072E13"/>
    <w:rsid w:val="00072EAA"/>
    <w:rsid w:val="00073CEF"/>
    <w:rsid w:val="00076420"/>
    <w:rsid w:val="000820C6"/>
    <w:rsid w:val="0008229A"/>
    <w:rsid w:val="00093E40"/>
    <w:rsid w:val="00094BAE"/>
    <w:rsid w:val="00096258"/>
    <w:rsid w:val="000A390A"/>
    <w:rsid w:val="000A413E"/>
    <w:rsid w:val="000A476D"/>
    <w:rsid w:val="000B0648"/>
    <w:rsid w:val="000B4E70"/>
    <w:rsid w:val="000B56D3"/>
    <w:rsid w:val="000C102A"/>
    <w:rsid w:val="000C3C5C"/>
    <w:rsid w:val="000C475E"/>
    <w:rsid w:val="000C4F17"/>
    <w:rsid w:val="000D36DC"/>
    <w:rsid w:val="000D42E2"/>
    <w:rsid w:val="000D7CF0"/>
    <w:rsid w:val="000E03FC"/>
    <w:rsid w:val="000E0968"/>
    <w:rsid w:val="000E0C15"/>
    <w:rsid w:val="000E4EEB"/>
    <w:rsid w:val="00115EEA"/>
    <w:rsid w:val="00117470"/>
    <w:rsid w:val="00120B1F"/>
    <w:rsid w:val="00121DBA"/>
    <w:rsid w:val="0012609D"/>
    <w:rsid w:val="001275B7"/>
    <w:rsid w:val="00127803"/>
    <w:rsid w:val="00127FF1"/>
    <w:rsid w:val="00147668"/>
    <w:rsid w:val="00147B03"/>
    <w:rsid w:val="0015047B"/>
    <w:rsid w:val="00152664"/>
    <w:rsid w:val="001529BB"/>
    <w:rsid w:val="00155A0F"/>
    <w:rsid w:val="00156FEB"/>
    <w:rsid w:val="001579F3"/>
    <w:rsid w:val="00163783"/>
    <w:rsid w:val="00163984"/>
    <w:rsid w:val="00170E7B"/>
    <w:rsid w:val="00170EDF"/>
    <w:rsid w:val="001801C4"/>
    <w:rsid w:val="0018476D"/>
    <w:rsid w:val="0018678E"/>
    <w:rsid w:val="001942CB"/>
    <w:rsid w:val="001945E9"/>
    <w:rsid w:val="001A3E49"/>
    <w:rsid w:val="001A44F9"/>
    <w:rsid w:val="001B0610"/>
    <w:rsid w:val="001B179D"/>
    <w:rsid w:val="001B1904"/>
    <w:rsid w:val="001B25C9"/>
    <w:rsid w:val="001B2D4C"/>
    <w:rsid w:val="001B6043"/>
    <w:rsid w:val="001B6394"/>
    <w:rsid w:val="001B6B7D"/>
    <w:rsid w:val="001C267B"/>
    <w:rsid w:val="001C2E87"/>
    <w:rsid w:val="001C77D0"/>
    <w:rsid w:val="001D1F0A"/>
    <w:rsid w:val="001D40EA"/>
    <w:rsid w:val="001D4474"/>
    <w:rsid w:val="001D5419"/>
    <w:rsid w:val="001D6E4C"/>
    <w:rsid w:val="001D7D0A"/>
    <w:rsid w:val="001E1A3C"/>
    <w:rsid w:val="001E3813"/>
    <w:rsid w:val="001F5070"/>
    <w:rsid w:val="001F5438"/>
    <w:rsid w:val="001F7531"/>
    <w:rsid w:val="001F79C6"/>
    <w:rsid w:val="002006C2"/>
    <w:rsid w:val="00201944"/>
    <w:rsid w:val="00206537"/>
    <w:rsid w:val="002074A1"/>
    <w:rsid w:val="00216C1E"/>
    <w:rsid w:val="00226406"/>
    <w:rsid w:val="0023093E"/>
    <w:rsid w:val="00230DB7"/>
    <w:rsid w:val="00235529"/>
    <w:rsid w:val="00244CA3"/>
    <w:rsid w:val="0025590B"/>
    <w:rsid w:val="00264E6F"/>
    <w:rsid w:val="00267FFD"/>
    <w:rsid w:val="0027652F"/>
    <w:rsid w:val="00282262"/>
    <w:rsid w:val="00284165"/>
    <w:rsid w:val="00285297"/>
    <w:rsid w:val="00291461"/>
    <w:rsid w:val="00292AE8"/>
    <w:rsid w:val="002951EB"/>
    <w:rsid w:val="00296325"/>
    <w:rsid w:val="00297A1B"/>
    <w:rsid w:val="002A0670"/>
    <w:rsid w:val="002A6C89"/>
    <w:rsid w:val="002B0F87"/>
    <w:rsid w:val="002B2257"/>
    <w:rsid w:val="002B294F"/>
    <w:rsid w:val="002B2B4E"/>
    <w:rsid w:val="002B32AE"/>
    <w:rsid w:val="002B32FF"/>
    <w:rsid w:val="002C0C59"/>
    <w:rsid w:val="002C73FE"/>
    <w:rsid w:val="002D7FC5"/>
    <w:rsid w:val="002F075C"/>
    <w:rsid w:val="002F545E"/>
    <w:rsid w:val="002F6AD1"/>
    <w:rsid w:val="002F7810"/>
    <w:rsid w:val="0031065A"/>
    <w:rsid w:val="00320AB1"/>
    <w:rsid w:val="00321629"/>
    <w:rsid w:val="003230A0"/>
    <w:rsid w:val="00323550"/>
    <w:rsid w:val="003238A5"/>
    <w:rsid w:val="00330C71"/>
    <w:rsid w:val="0033167B"/>
    <w:rsid w:val="00332216"/>
    <w:rsid w:val="00332F22"/>
    <w:rsid w:val="0033644D"/>
    <w:rsid w:val="003416C2"/>
    <w:rsid w:val="00341727"/>
    <w:rsid w:val="00344AED"/>
    <w:rsid w:val="003471F4"/>
    <w:rsid w:val="003523FF"/>
    <w:rsid w:val="00357545"/>
    <w:rsid w:val="00370D25"/>
    <w:rsid w:val="00371ED6"/>
    <w:rsid w:val="00374836"/>
    <w:rsid w:val="00375F0B"/>
    <w:rsid w:val="00376AF1"/>
    <w:rsid w:val="00380E38"/>
    <w:rsid w:val="00381978"/>
    <w:rsid w:val="00383B5C"/>
    <w:rsid w:val="0038626D"/>
    <w:rsid w:val="0038677D"/>
    <w:rsid w:val="003953FD"/>
    <w:rsid w:val="003A1F3C"/>
    <w:rsid w:val="003A3DB4"/>
    <w:rsid w:val="003A5DDB"/>
    <w:rsid w:val="003C32DB"/>
    <w:rsid w:val="003C4855"/>
    <w:rsid w:val="003C54F5"/>
    <w:rsid w:val="003C5F91"/>
    <w:rsid w:val="003C70A3"/>
    <w:rsid w:val="003D3A9E"/>
    <w:rsid w:val="003F2424"/>
    <w:rsid w:val="003F43FB"/>
    <w:rsid w:val="003F56A5"/>
    <w:rsid w:val="00404AFE"/>
    <w:rsid w:val="004123EF"/>
    <w:rsid w:val="0041664D"/>
    <w:rsid w:val="004177A8"/>
    <w:rsid w:val="004201F5"/>
    <w:rsid w:val="004230AC"/>
    <w:rsid w:val="00426AB5"/>
    <w:rsid w:val="00430222"/>
    <w:rsid w:val="00433C64"/>
    <w:rsid w:val="00440FBE"/>
    <w:rsid w:val="004427D1"/>
    <w:rsid w:val="00443773"/>
    <w:rsid w:val="00452F14"/>
    <w:rsid w:val="004567BD"/>
    <w:rsid w:val="00461147"/>
    <w:rsid w:val="004648E2"/>
    <w:rsid w:val="0047103A"/>
    <w:rsid w:val="00481046"/>
    <w:rsid w:val="00484C53"/>
    <w:rsid w:val="00485A3F"/>
    <w:rsid w:val="00486646"/>
    <w:rsid w:val="00487F77"/>
    <w:rsid w:val="00490056"/>
    <w:rsid w:val="00491DD7"/>
    <w:rsid w:val="00495F18"/>
    <w:rsid w:val="004977A9"/>
    <w:rsid w:val="004A1926"/>
    <w:rsid w:val="004A382D"/>
    <w:rsid w:val="004A3F85"/>
    <w:rsid w:val="004A65B5"/>
    <w:rsid w:val="004A78BA"/>
    <w:rsid w:val="004B4BB6"/>
    <w:rsid w:val="004B4D4D"/>
    <w:rsid w:val="004C11A7"/>
    <w:rsid w:val="004C4541"/>
    <w:rsid w:val="004C4CA5"/>
    <w:rsid w:val="004C5F3F"/>
    <w:rsid w:val="004D0484"/>
    <w:rsid w:val="004D1AE5"/>
    <w:rsid w:val="004D6F74"/>
    <w:rsid w:val="004E269E"/>
    <w:rsid w:val="004E2959"/>
    <w:rsid w:val="004E3A10"/>
    <w:rsid w:val="004E58A5"/>
    <w:rsid w:val="004E6093"/>
    <w:rsid w:val="004E6F41"/>
    <w:rsid w:val="004F2492"/>
    <w:rsid w:val="00503551"/>
    <w:rsid w:val="0051222D"/>
    <w:rsid w:val="005145ED"/>
    <w:rsid w:val="00521683"/>
    <w:rsid w:val="00523E95"/>
    <w:rsid w:val="005245A4"/>
    <w:rsid w:val="00526949"/>
    <w:rsid w:val="00533D1C"/>
    <w:rsid w:val="00535DC9"/>
    <w:rsid w:val="005376B7"/>
    <w:rsid w:val="00540298"/>
    <w:rsid w:val="00541F3F"/>
    <w:rsid w:val="0054268F"/>
    <w:rsid w:val="005460A3"/>
    <w:rsid w:val="00547DD7"/>
    <w:rsid w:val="00550252"/>
    <w:rsid w:val="00551A8D"/>
    <w:rsid w:val="005523A5"/>
    <w:rsid w:val="00553DEC"/>
    <w:rsid w:val="00554002"/>
    <w:rsid w:val="00557C07"/>
    <w:rsid w:val="00567E42"/>
    <w:rsid w:val="00572E35"/>
    <w:rsid w:val="00576234"/>
    <w:rsid w:val="005818A8"/>
    <w:rsid w:val="005842DF"/>
    <w:rsid w:val="0058734B"/>
    <w:rsid w:val="005903F3"/>
    <w:rsid w:val="00591B89"/>
    <w:rsid w:val="005926B7"/>
    <w:rsid w:val="00593B03"/>
    <w:rsid w:val="00593F40"/>
    <w:rsid w:val="0059697A"/>
    <w:rsid w:val="005A5EEB"/>
    <w:rsid w:val="005A79A4"/>
    <w:rsid w:val="005B5BDF"/>
    <w:rsid w:val="005B790A"/>
    <w:rsid w:val="005C05F7"/>
    <w:rsid w:val="005C05FA"/>
    <w:rsid w:val="005C49BA"/>
    <w:rsid w:val="005C5B1D"/>
    <w:rsid w:val="005D0D16"/>
    <w:rsid w:val="005E1CE0"/>
    <w:rsid w:val="005E6164"/>
    <w:rsid w:val="005F28F8"/>
    <w:rsid w:val="005F2CE6"/>
    <w:rsid w:val="005F45A8"/>
    <w:rsid w:val="005F5D8E"/>
    <w:rsid w:val="00605CB4"/>
    <w:rsid w:val="00606E2B"/>
    <w:rsid w:val="00610C41"/>
    <w:rsid w:val="00612D79"/>
    <w:rsid w:val="0061390B"/>
    <w:rsid w:val="00615F78"/>
    <w:rsid w:val="00620BEB"/>
    <w:rsid w:val="00622C65"/>
    <w:rsid w:val="00632593"/>
    <w:rsid w:val="006353D1"/>
    <w:rsid w:val="00637F19"/>
    <w:rsid w:val="00641752"/>
    <w:rsid w:val="00645DF5"/>
    <w:rsid w:val="00645EA4"/>
    <w:rsid w:val="00650F05"/>
    <w:rsid w:val="0065454E"/>
    <w:rsid w:val="00657B01"/>
    <w:rsid w:val="00661BB3"/>
    <w:rsid w:val="00666DE4"/>
    <w:rsid w:val="006755C1"/>
    <w:rsid w:val="006811C5"/>
    <w:rsid w:val="00686B2A"/>
    <w:rsid w:val="006911F3"/>
    <w:rsid w:val="006A135D"/>
    <w:rsid w:val="006A2D10"/>
    <w:rsid w:val="006A5214"/>
    <w:rsid w:val="006A6067"/>
    <w:rsid w:val="006A7A79"/>
    <w:rsid w:val="006B4A5D"/>
    <w:rsid w:val="006C38A8"/>
    <w:rsid w:val="006D21ED"/>
    <w:rsid w:val="006D66AE"/>
    <w:rsid w:val="006D725E"/>
    <w:rsid w:val="006E3745"/>
    <w:rsid w:val="006F220A"/>
    <w:rsid w:val="006F6553"/>
    <w:rsid w:val="007029E1"/>
    <w:rsid w:val="00702D65"/>
    <w:rsid w:val="00710028"/>
    <w:rsid w:val="007103A5"/>
    <w:rsid w:val="00710D22"/>
    <w:rsid w:val="007111CD"/>
    <w:rsid w:val="00717EF8"/>
    <w:rsid w:val="0072164F"/>
    <w:rsid w:val="007253E7"/>
    <w:rsid w:val="0072736C"/>
    <w:rsid w:val="007315D8"/>
    <w:rsid w:val="00740BD1"/>
    <w:rsid w:val="00743CFD"/>
    <w:rsid w:val="007664C1"/>
    <w:rsid w:val="007700C2"/>
    <w:rsid w:val="00772382"/>
    <w:rsid w:val="00782EFA"/>
    <w:rsid w:val="00785519"/>
    <w:rsid w:val="007866A5"/>
    <w:rsid w:val="0079299D"/>
    <w:rsid w:val="00792D31"/>
    <w:rsid w:val="00794D36"/>
    <w:rsid w:val="007952E9"/>
    <w:rsid w:val="00795500"/>
    <w:rsid w:val="0079639C"/>
    <w:rsid w:val="00796CB2"/>
    <w:rsid w:val="007A410D"/>
    <w:rsid w:val="007A66FE"/>
    <w:rsid w:val="007A713B"/>
    <w:rsid w:val="007B3290"/>
    <w:rsid w:val="007B42D0"/>
    <w:rsid w:val="007B4FCE"/>
    <w:rsid w:val="007B681E"/>
    <w:rsid w:val="007C1DB9"/>
    <w:rsid w:val="007C2FD2"/>
    <w:rsid w:val="007C62A6"/>
    <w:rsid w:val="007C6F18"/>
    <w:rsid w:val="007C7B84"/>
    <w:rsid w:val="007D2916"/>
    <w:rsid w:val="007D29EC"/>
    <w:rsid w:val="007D4BBD"/>
    <w:rsid w:val="007D67CC"/>
    <w:rsid w:val="007E1660"/>
    <w:rsid w:val="007E1FC2"/>
    <w:rsid w:val="007F09BE"/>
    <w:rsid w:val="007F1327"/>
    <w:rsid w:val="007F140C"/>
    <w:rsid w:val="007F186E"/>
    <w:rsid w:val="007F197B"/>
    <w:rsid w:val="0080339F"/>
    <w:rsid w:val="0080612D"/>
    <w:rsid w:val="00806354"/>
    <w:rsid w:val="0080692E"/>
    <w:rsid w:val="00806CD5"/>
    <w:rsid w:val="00806F4A"/>
    <w:rsid w:val="0080753A"/>
    <w:rsid w:val="008111C8"/>
    <w:rsid w:val="008149F4"/>
    <w:rsid w:val="00814F10"/>
    <w:rsid w:val="00815011"/>
    <w:rsid w:val="00815817"/>
    <w:rsid w:val="00815EF6"/>
    <w:rsid w:val="00816F85"/>
    <w:rsid w:val="00820D28"/>
    <w:rsid w:val="00822591"/>
    <w:rsid w:val="00827E8A"/>
    <w:rsid w:val="008316CB"/>
    <w:rsid w:val="0083288D"/>
    <w:rsid w:val="0083605E"/>
    <w:rsid w:val="00840F4E"/>
    <w:rsid w:val="008463FD"/>
    <w:rsid w:val="00853880"/>
    <w:rsid w:val="00856132"/>
    <w:rsid w:val="00860311"/>
    <w:rsid w:val="00861497"/>
    <w:rsid w:val="008649BB"/>
    <w:rsid w:val="008655EA"/>
    <w:rsid w:val="00867CA5"/>
    <w:rsid w:val="00873ECE"/>
    <w:rsid w:val="008740D4"/>
    <w:rsid w:val="00874708"/>
    <w:rsid w:val="00875F92"/>
    <w:rsid w:val="00876CE2"/>
    <w:rsid w:val="0087785E"/>
    <w:rsid w:val="00892203"/>
    <w:rsid w:val="0089393F"/>
    <w:rsid w:val="008A0893"/>
    <w:rsid w:val="008A11C6"/>
    <w:rsid w:val="008A1D22"/>
    <w:rsid w:val="008A4884"/>
    <w:rsid w:val="008B13D2"/>
    <w:rsid w:val="008B3268"/>
    <w:rsid w:val="008B361D"/>
    <w:rsid w:val="008C1554"/>
    <w:rsid w:val="008C3F42"/>
    <w:rsid w:val="008C53CE"/>
    <w:rsid w:val="008E2B15"/>
    <w:rsid w:val="008E33F3"/>
    <w:rsid w:val="008E3B84"/>
    <w:rsid w:val="008E54BD"/>
    <w:rsid w:val="008F1360"/>
    <w:rsid w:val="008F229B"/>
    <w:rsid w:val="008F2A6E"/>
    <w:rsid w:val="00903C18"/>
    <w:rsid w:val="00906E0C"/>
    <w:rsid w:val="00907943"/>
    <w:rsid w:val="00912194"/>
    <w:rsid w:val="009123AA"/>
    <w:rsid w:val="009127EC"/>
    <w:rsid w:val="00916E97"/>
    <w:rsid w:val="00920372"/>
    <w:rsid w:val="0092164B"/>
    <w:rsid w:val="009223B5"/>
    <w:rsid w:val="0092326A"/>
    <w:rsid w:val="009260D3"/>
    <w:rsid w:val="009316EC"/>
    <w:rsid w:val="009317CD"/>
    <w:rsid w:val="00934728"/>
    <w:rsid w:val="009644D9"/>
    <w:rsid w:val="00964539"/>
    <w:rsid w:val="0097131C"/>
    <w:rsid w:val="00972485"/>
    <w:rsid w:val="00973185"/>
    <w:rsid w:val="00982F5B"/>
    <w:rsid w:val="009870E4"/>
    <w:rsid w:val="00992BCC"/>
    <w:rsid w:val="009A12FA"/>
    <w:rsid w:val="009A564D"/>
    <w:rsid w:val="009B0D7B"/>
    <w:rsid w:val="009B3615"/>
    <w:rsid w:val="009B3801"/>
    <w:rsid w:val="009B534D"/>
    <w:rsid w:val="009B591A"/>
    <w:rsid w:val="009C30FE"/>
    <w:rsid w:val="009C3E56"/>
    <w:rsid w:val="009C483C"/>
    <w:rsid w:val="009D2477"/>
    <w:rsid w:val="009D2D8B"/>
    <w:rsid w:val="009D4A74"/>
    <w:rsid w:val="009D5253"/>
    <w:rsid w:val="009D5D79"/>
    <w:rsid w:val="009D64FE"/>
    <w:rsid w:val="009D75BB"/>
    <w:rsid w:val="009E0994"/>
    <w:rsid w:val="009E25E0"/>
    <w:rsid w:val="009E2C77"/>
    <w:rsid w:val="009E4452"/>
    <w:rsid w:val="009E5993"/>
    <w:rsid w:val="009E6D3E"/>
    <w:rsid w:val="009E7578"/>
    <w:rsid w:val="009E75B7"/>
    <w:rsid w:val="009F2C6B"/>
    <w:rsid w:val="009F5C7B"/>
    <w:rsid w:val="00A031CE"/>
    <w:rsid w:val="00A04421"/>
    <w:rsid w:val="00A11A0D"/>
    <w:rsid w:val="00A22080"/>
    <w:rsid w:val="00A223D3"/>
    <w:rsid w:val="00A32D1B"/>
    <w:rsid w:val="00A42079"/>
    <w:rsid w:val="00A4664E"/>
    <w:rsid w:val="00A531E8"/>
    <w:rsid w:val="00A573ED"/>
    <w:rsid w:val="00A60F08"/>
    <w:rsid w:val="00A61766"/>
    <w:rsid w:val="00A63022"/>
    <w:rsid w:val="00A6692C"/>
    <w:rsid w:val="00A71A7E"/>
    <w:rsid w:val="00A776D7"/>
    <w:rsid w:val="00A91C60"/>
    <w:rsid w:val="00A91E48"/>
    <w:rsid w:val="00A96E37"/>
    <w:rsid w:val="00A97444"/>
    <w:rsid w:val="00AA186F"/>
    <w:rsid w:val="00AA29E5"/>
    <w:rsid w:val="00AB0678"/>
    <w:rsid w:val="00AB3750"/>
    <w:rsid w:val="00AB4BF2"/>
    <w:rsid w:val="00AC00CF"/>
    <w:rsid w:val="00AC4EFA"/>
    <w:rsid w:val="00AC52CB"/>
    <w:rsid w:val="00AC5310"/>
    <w:rsid w:val="00AC7794"/>
    <w:rsid w:val="00AC7ECD"/>
    <w:rsid w:val="00AD009F"/>
    <w:rsid w:val="00AE6128"/>
    <w:rsid w:val="00AF299E"/>
    <w:rsid w:val="00AF54C5"/>
    <w:rsid w:val="00AF56FD"/>
    <w:rsid w:val="00AF5EA0"/>
    <w:rsid w:val="00B066DA"/>
    <w:rsid w:val="00B072C0"/>
    <w:rsid w:val="00B10135"/>
    <w:rsid w:val="00B10769"/>
    <w:rsid w:val="00B113F9"/>
    <w:rsid w:val="00B118A2"/>
    <w:rsid w:val="00B133D0"/>
    <w:rsid w:val="00B15418"/>
    <w:rsid w:val="00B17165"/>
    <w:rsid w:val="00B1737C"/>
    <w:rsid w:val="00B1758C"/>
    <w:rsid w:val="00B17639"/>
    <w:rsid w:val="00B23E58"/>
    <w:rsid w:val="00B23F73"/>
    <w:rsid w:val="00B30226"/>
    <w:rsid w:val="00B33C93"/>
    <w:rsid w:val="00B42124"/>
    <w:rsid w:val="00B443CE"/>
    <w:rsid w:val="00B449F5"/>
    <w:rsid w:val="00B4555A"/>
    <w:rsid w:val="00B51CAF"/>
    <w:rsid w:val="00B53C56"/>
    <w:rsid w:val="00B60464"/>
    <w:rsid w:val="00B606EF"/>
    <w:rsid w:val="00B618F8"/>
    <w:rsid w:val="00B64133"/>
    <w:rsid w:val="00B72E2D"/>
    <w:rsid w:val="00B745CB"/>
    <w:rsid w:val="00B805BD"/>
    <w:rsid w:val="00B80E26"/>
    <w:rsid w:val="00B81DA7"/>
    <w:rsid w:val="00B86490"/>
    <w:rsid w:val="00B873E2"/>
    <w:rsid w:val="00B91D3D"/>
    <w:rsid w:val="00B94E7D"/>
    <w:rsid w:val="00B97F08"/>
    <w:rsid w:val="00BA4663"/>
    <w:rsid w:val="00BA696B"/>
    <w:rsid w:val="00BA7212"/>
    <w:rsid w:val="00BC5F45"/>
    <w:rsid w:val="00BC71D6"/>
    <w:rsid w:val="00BD4C85"/>
    <w:rsid w:val="00BE1EFD"/>
    <w:rsid w:val="00BE4493"/>
    <w:rsid w:val="00BE456E"/>
    <w:rsid w:val="00BF3137"/>
    <w:rsid w:val="00BF4417"/>
    <w:rsid w:val="00BF44CB"/>
    <w:rsid w:val="00C02ECE"/>
    <w:rsid w:val="00C06AC7"/>
    <w:rsid w:val="00C13E0F"/>
    <w:rsid w:val="00C2031B"/>
    <w:rsid w:val="00C2080D"/>
    <w:rsid w:val="00C228D6"/>
    <w:rsid w:val="00C240C3"/>
    <w:rsid w:val="00C25562"/>
    <w:rsid w:val="00C265C5"/>
    <w:rsid w:val="00C27B89"/>
    <w:rsid w:val="00C34713"/>
    <w:rsid w:val="00C43DDB"/>
    <w:rsid w:val="00C46720"/>
    <w:rsid w:val="00C575E9"/>
    <w:rsid w:val="00C62202"/>
    <w:rsid w:val="00C6240E"/>
    <w:rsid w:val="00C647F2"/>
    <w:rsid w:val="00C66C6C"/>
    <w:rsid w:val="00C706BF"/>
    <w:rsid w:val="00C70FDD"/>
    <w:rsid w:val="00C73A39"/>
    <w:rsid w:val="00C80C0D"/>
    <w:rsid w:val="00C82E4D"/>
    <w:rsid w:val="00C85762"/>
    <w:rsid w:val="00C91234"/>
    <w:rsid w:val="00C93E36"/>
    <w:rsid w:val="00C950F3"/>
    <w:rsid w:val="00C96FB1"/>
    <w:rsid w:val="00CA1C01"/>
    <w:rsid w:val="00CB0962"/>
    <w:rsid w:val="00CB16F4"/>
    <w:rsid w:val="00CB1AC3"/>
    <w:rsid w:val="00CB1F18"/>
    <w:rsid w:val="00CB25EB"/>
    <w:rsid w:val="00CB2FD2"/>
    <w:rsid w:val="00CB3015"/>
    <w:rsid w:val="00CB60E6"/>
    <w:rsid w:val="00CB657C"/>
    <w:rsid w:val="00CC03C4"/>
    <w:rsid w:val="00CC3E40"/>
    <w:rsid w:val="00CC3FFA"/>
    <w:rsid w:val="00CC6C03"/>
    <w:rsid w:val="00CD1703"/>
    <w:rsid w:val="00CD4FE6"/>
    <w:rsid w:val="00CD5884"/>
    <w:rsid w:val="00CD5DE8"/>
    <w:rsid w:val="00CD70A0"/>
    <w:rsid w:val="00CD74BD"/>
    <w:rsid w:val="00CE7723"/>
    <w:rsid w:val="00CE7903"/>
    <w:rsid w:val="00CF42F6"/>
    <w:rsid w:val="00CF6C71"/>
    <w:rsid w:val="00CF7A9A"/>
    <w:rsid w:val="00D00D60"/>
    <w:rsid w:val="00D017E5"/>
    <w:rsid w:val="00D01A19"/>
    <w:rsid w:val="00D04FF1"/>
    <w:rsid w:val="00D07CDB"/>
    <w:rsid w:val="00D1367C"/>
    <w:rsid w:val="00D14B3E"/>
    <w:rsid w:val="00D1582A"/>
    <w:rsid w:val="00D17FB1"/>
    <w:rsid w:val="00D21BE4"/>
    <w:rsid w:val="00D25C5A"/>
    <w:rsid w:val="00D309C4"/>
    <w:rsid w:val="00D32D2F"/>
    <w:rsid w:val="00D341CA"/>
    <w:rsid w:val="00D41AF4"/>
    <w:rsid w:val="00D4554A"/>
    <w:rsid w:val="00D45E53"/>
    <w:rsid w:val="00D47039"/>
    <w:rsid w:val="00D55EAF"/>
    <w:rsid w:val="00D63655"/>
    <w:rsid w:val="00D66257"/>
    <w:rsid w:val="00D673AD"/>
    <w:rsid w:val="00D75630"/>
    <w:rsid w:val="00D762B2"/>
    <w:rsid w:val="00D81ED8"/>
    <w:rsid w:val="00D842AA"/>
    <w:rsid w:val="00D86D76"/>
    <w:rsid w:val="00D87130"/>
    <w:rsid w:val="00D93E0B"/>
    <w:rsid w:val="00DA6860"/>
    <w:rsid w:val="00DA7546"/>
    <w:rsid w:val="00DB1A98"/>
    <w:rsid w:val="00DB4E25"/>
    <w:rsid w:val="00DB6FBE"/>
    <w:rsid w:val="00DC47C0"/>
    <w:rsid w:val="00DC68BB"/>
    <w:rsid w:val="00DC6C77"/>
    <w:rsid w:val="00DD145E"/>
    <w:rsid w:val="00DD1480"/>
    <w:rsid w:val="00DD29E1"/>
    <w:rsid w:val="00DD334E"/>
    <w:rsid w:val="00DE02C4"/>
    <w:rsid w:val="00DF07E7"/>
    <w:rsid w:val="00DF164D"/>
    <w:rsid w:val="00DF1796"/>
    <w:rsid w:val="00DF270D"/>
    <w:rsid w:val="00DF3137"/>
    <w:rsid w:val="00DF3B28"/>
    <w:rsid w:val="00DF5606"/>
    <w:rsid w:val="00DF56EC"/>
    <w:rsid w:val="00E020F2"/>
    <w:rsid w:val="00E02FF2"/>
    <w:rsid w:val="00E12059"/>
    <w:rsid w:val="00E17555"/>
    <w:rsid w:val="00E204D2"/>
    <w:rsid w:val="00E25D21"/>
    <w:rsid w:val="00E2618F"/>
    <w:rsid w:val="00E31716"/>
    <w:rsid w:val="00E32B95"/>
    <w:rsid w:val="00E34551"/>
    <w:rsid w:val="00E34EAB"/>
    <w:rsid w:val="00E373B2"/>
    <w:rsid w:val="00E40036"/>
    <w:rsid w:val="00E41969"/>
    <w:rsid w:val="00E423B5"/>
    <w:rsid w:val="00E45000"/>
    <w:rsid w:val="00E451FD"/>
    <w:rsid w:val="00E4667F"/>
    <w:rsid w:val="00E50E93"/>
    <w:rsid w:val="00E52CE0"/>
    <w:rsid w:val="00E556EC"/>
    <w:rsid w:val="00E55B22"/>
    <w:rsid w:val="00E60D44"/>
    <w:rsid w:val="00E63EF8"/>
    <w:rsid w:val="00E64502"/>
    <w:rsid w:val="00E66570"/>
    <w:rsid w:val="00E66C98"/>
    <w:rsid w:val="00E72567"/>
    <w:rsid w:val="00E7672C"/>
    <w:rsid w:val="00E771D2"/>
    <w:rsid w:val="00E80EDB"/>
    <w:rsid w:val="00E84794"/>
    <w:rsid w:val="00E847DF"/>
    <w:rsid w:val="00E90013"/>
    <w:rsid w:val="00E928BB"/>
    <w:rsid w:val="00E93488"/>
    <w:rsid w:val="00EA0CCD"/>
    <w:rsid w:val="00EA28CA"/>
    <w:rsid w:val="00EA4444"/>
    <w:rsid w:val="00EA6A01"/>
    <w:rsid w:val="00EB0E23"/>
    <w:rsid w:val="00EB17AF"/>
    <w:rsid w:val="00EB4C04"/>
    <w:rsid w:val="00EB56F2"/>
    <w:rsid w:val="00EC08B2"/>
    <w:rsid w:val="00EC2B12"/>
    <w:rsid w:val="00EC4D59"/>
    <w:rsid w:val="00ED06A6"/>
    <w:rsid w:val="00ED2A64"/>
    <w:rsid w:val="00ED451D"/>
    <w:rsid w:val="00ED7C55"/>
    <w:rsid w:val="00EE2FDC"/>
    <w:rsid w:val="00F07C02"/>
    <w:rsid w:val="00F157C6"/>
    <w:rsid w:val="00F234BF"/>
    <w:rsid w:val="00F268B3"/>
    <w:rsid w:val="00F27014"/>
    <w:rsid w:val="00F31CCA"/>
    <w:rsid w:val="00F32BBA"/>
    <w:rsid w:val="00F43E0E"/>
    <w:rsid w:val="00F473F0"/>
    <w:rsid w:val="00F47540"/>
    <w:rsid w:val="00F50569"/>
    <w:rsid w:val="00F51139"/>
    <w:rsid w:val="00F52969"/>
    <w:rsid w:val="00F55F14"/>
    <w:rsid w:val="00F622ED"/>
    <w:rsid w:val="00F65EEA"/>
    <w:rsid w:val="00F776D3"/>
    <w:rsid w:val="00F84075"/>
    <w:rsid w:val="00F90537"/>
    <w:rsid w:val="00F91733"/>
    <w:rsid w:val="00F920DB"/>
    <w:rsid w:val="00F95209"/>
    <w:rsid w:val="00F964AD"/>
    <w:rsid w:val="00FB3956"/>
    <w:rsid w:val="00FC0F8B"/>
    <w:rsid w:val="00FC24AF"/>
    <w:rsid w:val="00FD53BA"/>
    <w:rsid w:val="00FD6B0E"/>
    <w:rsid w:val="00FD7E42"/>
    <w:rsid w:val="00FE1B77"/>
    <w:rsid w:val="00FE40D8"/>
    <w:rsid w:val="00FE7219"/>
    <w:rsid w:val="00FF0163"/>
    <w:rsid w:val="01137E06"/>
    <w:rsid w:val="01375C3E"/>
    <w:rsid w:val="01954D8D"/>
    <w:rsid w:val="02E32A5D"/>
    <w:rsid w:val="035D5749"/>
    <w:rsid w:val="03A507DC"/>
    <w:rsid w:val="04C17862"/>
    <w:rsid w:val="04E41B77"/>
    <w:rsid w:val="057D13AE"/>
    <w:rsid w:val="064116B8"/>
    <w:rsid w:val="064A667C"/>
    <w:rsid w:val="06B2613D"/>
    <w:rsid w:val="06B753E3"/>
    <w:rsid w:val="07321D04"/>
    <w:rsid w:val="08A51999"/>
    <w:rsid w:val="090041E8"/>
    <w:rsid w:val="09B849A4"/>
    <w:rsid w:val="09F160E3"/>
    <w:rsid w:val="0A9E0927"/>
    <w:rsid w:val="0AC64130"/>
    <w:rsid w:val="0B42525D"/>
    <w:rsid w:val="0BF11AD7"/>
    <w:rsid w:val="0C1F7DEE"/>
    <w:rsid w:val="0C88769D"/>
    <w:rsid w:val="0CDE660D"/>
    <w:rsid w:val="0D032A7C"/>
    <w:rsid w:val="0DB77106"/>
    <w:rsid w:val="0DCE2D64"/>
    <w:rsid w:val="0E955A36"/>
    <w:rsid w:val="0F662138"/>
    <w:rsid w:val="0F9B0CE9"/>
    <w:rsid w:val="0FF35275"/>
    <w:rsid w:val="100732C8"/>
    <w:rsid w:val="10DA6205"/>
    <w:rsid w:val="10E86139"/>
    <w:rsid w:val="111441F0"/>
    <w:rsid w:val="113D3FD2"/>
    <w:rsid w:val="121F7D21"/>
    <w:rsid w:val="129B2E20"/>
    <w:rsid w:val="12AA5DF8"/>
    <w:rsid w:val="12C54559"/>
    <w:rsid w:val="12CB3DD7"/>
    <w:rsid w:val="132A04C1"/>
    <w:rsid w:val="1330029C"/>
    <w:rsid w:val="134E6356"/>
    <w:rsid w:val="13AE24B4"/>
    <w:rsid w:val="14D51A3C"/>
    <w:rsid w:val="15364A7C"/>
    <w:rsid w:val="15602ADB"/>
    <w:rsid w:val="15947E4C"/>
    <w:rsid w:val="15D52593"/>
    <w:rsid w:val="1626611D"/>
    <w:rsid w:val="16E2497F"/>
    <w:rsid w:val="17A736B0"/>
    <w:rsid w:val="18A2004D"/>
    <w:rsid w:val="19415809"/>
    <w:rsid w:val="197E6634"/>
    <w:rsid w:val="1B7329E7"/>
    <w:rsid w:val="1B8A2034"/>
    <w:rsid w:val="1BB46C31"/>
    <w:rsid w:val="1BC72FF7"/>
    <w:rsid w:val="1C161355"/>
    <w:rsid w:val="1CFF262F"/>
    <w:rsid w:val="1D03226A"/>
    <w:rsid w:val="1D5030CD"/>
    <w:rsid w:val="1D876087"/>
    <w:rsid w:val="1DFF64E4"/>
    <w:rsid w:val="1E313D4A"/>
    <w:rsid w:val="1ECB51CD"/>
    <w:rsid w:val="1F515CF1"/>
    <w:rsid w:val="1FBD6B68"/>
    <w:rsid w:val="1FDC1B35"/>
    <w:rsid w:val="1FDD0CDB"/>
    <w:rsid w:val="2056595D"/>
    <w:rsid w:val="207554B7"/>
    <w:rsid w:val="20AE4DE8"/>
    <w:rsid w:val="21194658"/>
    <w:rsid w:val="216834DE"/>
    <w:rsid w:val="21996AC1"/>
    <w:rsid w:val="219F3EE2"/>
    <w:rsid w:val="21F57098"/>
    <w:rsid w:val="22BA3902"/>
    <w:rsid w:val="22BB5089"/>
    <w:rsid w:val="22EF0361"/>
    <w:rsid w:val="233407F6"/>
    <w:rsid w:val="23D146B7"/>
    <w:rsid w:val="240817CF"/>
    <w:rsid w:val="24321B2E"/>
    <w:rsid w:val="244B21DE"/>
    <w:rsid w:val="245C7DFE"/>
    <w:rsid w:val="247F3074"/>
    <w:rsid w:val="24B82D9D"/>
    <w:rsid w:val="251328EC"/>
    <w:rsid w:val="254016F5"/>
    <w:rsid w:val="258A2E5C"/>
    <w:rsid w:val="25B924F3"/>
    <w:rsid w:val="25E06B30"/>
    <w:rsid w:val="268419CF"/>
    <w:rsid w:val="26AC2D80"/>
    <w:rsid w:val="26F95364"/>
    <w:rsid w:val="2916719E"/>
    <w:rsid w:val="293961B5"/>
    <w:rsid w:val="29A303B9"/>
    <w:rsid w:val="2B9C319C"/>
    <w:rsid w:val="2C1D776C"/>
    <w:rsid w:val="2C453820"/>
    <w:rsid w:val="2C527F9F"/>
    <w:rsid w:val="2C6C12B9"/>
    <w:rsid w:val="2CA93C52"/>
    <w:rsid w:val="2D912E3A"/>
    <w:rsid w:val="2DC02C2B"/>
    <w:rsid w:val="2DE440F7"/>
    <w:rsid w:val="2E6F25DB"/>
    <w:rsid w:val="2E805E2F"/>
    <w:rsid w:val="2F412AB7"/>
    <w:rsid w:val="2FA14A50"/>
    <w:rsid w:val="2FA70F17"/>
    <w:rsid w:val="30CB447B"/>
    <w:rsid w:val="3115573F"/>
    <w:rsid w:val="32951C0D"/>
    <w:rsid w:val="32F131F1"/>
    <w:rsid w:val="33CE5AF4"/>
    <w:rsid w:val="33D72F2D"/>
    <w:rsid w:val="340E7198"/>
    <w:rsid w:val="34A75784"/>
    <w:rsid w:val="3581551C"/>
    <w:rsid w:val="35947F79"/>
    <w:rsid w:val="35D65FDD"/>
    <w:rsid w:val="36C14F46"/>
    <w:rsid w:val="36C44D71"/>
    <w:rsid w:val="373F75CC"/>
    <w:rsid w:val="37C101D4"/>
    <w:rsid w:val="38F320AA"/>
    <w:rsid w:val="38FB27F3"/>
    <w:rsid w:val="39584559"/>
    <w:rsid w:val="399D40A5"/>
    <w:rsid w:val="39E5435C"/>
    <w:rsid w:val="3A2F6D68"/>
    <w:rsid w:val="3AC9385E"/>
    <w:rsid w:val="3B3306F0"/>
    <w:rsid w:val="3B563B4D"/>
    <w:rsid w:val="3C2825B0"/>
    <w:rsid w:val="3C2B26B7"/>
    <w:rsid w:val="3C881F02"/>
    <w:rsid w:val="3CB420C3"/>
    <w:rsid w:val="3D8B796D"/>
    <w:rsid w:val="3DA80A30"/>
    <w:rsid w:val="3E643221"/>
    <w:rsid w:val="3EA032CC"/>
    <w:rsid w:val="3EC32453"/>
    <w:rsid w:val="3ECC520D"/>
    <w:rsid w:val="3EE0186C"/>
    <w:rsid w:val="3EE43745"/>
    <w:rsid w:val="3EEE419C"/>
    <w:rsid w:val="3EFE09FD"/>
    <w:rsid w:val="3F032E01"/>
    <w:rsid w:val="3F2C758E"/>
    <w:rsid w:val="3F345DBE"/>
    <w:rsid w:val="40164730"/>
    <w:rsid w:val="40E44318"/>
    <w:rsid w:val="40F15753"/>
    <w:rsid w:val="41F950F8"/>
    <w:rsid w:val="428A4A5E"/>
    <w:rsid w:val="42EB3BA1"/>
    <w:rsid w:val="42F51780"/>
    <w:rsid w:val="43F11831"/>
    <w:rsid w:val="43F63E0D"/>
    <w:rsid w:val="44092E2E"/>
    <w:rsid w:val="441077D2"/>
    <w:rsid w:val="44396064"/>
    <w:rsid w:val="458C38B3"/>
    <w:rsid w:val="459609D9"/>
    <w:rsid w:val="45A37566"/>
    <w:rsid w:val="45B634E5"/>
    <w:rsid w:val="45CF0A85"/>
    <w:rsid w:val="46020C32"/>
    <w:rsid w:val="46194A11"/>
    <w:rsid w:val="461E2AF1"/>
    <w:rsid w:val="47752ACA"/>
    <w:rsid w:val="477D75D8"/>
    <w:rsid w:val="47A71483"/>
    <w:rsid w:val="47C813F2"/>
    <w:rsid w:val="48352178"/>
    <w:rsid w:val="489B63EF"/>
    <w:rsid w:val="48D7317F"/>
    <w:rsid w:val="4953255E"/>
    <w:rsid w:val="49BF13F0"/>
    <w:rsid w:val="49C623EE"/>
    <w:rsid w:val="49D75468"/>
    <w:rsid w:val="49E169F0"/>
    <w:rsid w:val="4A1F6F8D"/>
    <w:rsid w:val="4A4A74EF"/>
    <w:rsid w:val="4A6F6249"/>
    <w:rsid w:val="4AA77B51"/>
    <w:rsid w:val="4AB74C38"/>
    <w:rsid w:val="4B14426D"/>
    <w:rsid w:val="4B3320ED"/>
    <w:rsid w:val="4B6224E5"/>
    <w:rsid w:val="4B8C4A56"/>
    <w:rsid w:val="4BAB6225"/>
    <w:rsid w:val="4BF97936"/>
    <w:rsid w:val="4C2C4D07"/>
    <w:rsid w:val="4C457E30"/>
    <w:rsid w:val="4CAC2FB1"/>
    <w:rsid w:val="4D2A3925"/>
    <w:rsid w:val="4D597189"/>
    <w:rsid w:val="4DB20386"/>
    <w:rsid w:val="4DF02D90"/>
    <w:rsid w:val="4E665CB5"/>
    <w:rsid w:val="4EB84B21"/>
    <w:rsid w:val="4F271764"/>
    <w:rsid w:val="4F7D0512"/>
    <w:rsid w:val="4FAF4829"/>
    <w:rsid w:val="4FBA2B77"/>
    <w:rsid w:val="4FD46E6F"/>
    <w:rsid w:val="5005695E"/>
    <w:rsid w:val="50286811"/>
    <w:rsid w:val="50700F42"/>
    <w:rsid w:val="50B838CE"/>
    <w:rsid w:val="50ED1DE1"/>
    <w:rsid w:val="51266B84"/>
    <w:rsid w:val="51642661"/>
    <w:rsid w:val="5191036A"/>
    <w:rsid w:val="52465DB8"/>
    <w:rsid w:val="52940E89"/>
    <w:rsid w:val="538706F0"/>
    <w:rsid w:val="546B5509"/>
    <w:rsid w:val="548642E9"/>
    <w:rsid w:val="54A17941"/>
    <w:rsid w:val="54C12E33"/>
    <w:rsid w:val="55633225"/>
    <w:rsid w:val="556D6DC3"/>
    <w:rsid w:val="563B25E1"/>
    <w:rsid w:val="566A208A"/>
    <w:rsid w:val="56DD4D3A"/>
    <w:rsid w:val="57555A7B"/>
    <w:rsid w:val="5770382C"/>
    <w:rsid w:val="57846909"/>
    <w:rsid w:val="57CB522F"/>
    <w:rsid w:val="57F46FBE"/>
    <w:rsid w:val="58042686"/>
    <w:rsid w:val="58246D5D"/>
    <w:rsid w:val="58EC5960"/>
    <w:rsid w:val="58F05C44"/>
    <w:rsid w:val="58F400B4"/>
    <w:rsid w:val="59151C86"/>
    <w:rsid w:val="59732982"/>
    <w:rsid w:val="598F0769"/>
    <w:rsid w:val="59C52328"/>
    <w:rsid w:val="5AD37D8A"/>
    <w:rsid w:val="5AF87BF9"/>
    <w:rsid w:val="5B0F1B49"/>
    <w:rsid w:val="5B906095"/>
    <w:rsid w:val="5BC6560B"/>
    <w:rsid w:val="5BF60A75"/>
    <w:rsid w:val="5C813B75"/>
    <w:rsid w:val="5C9F2D01"/>
    <w:rsid w:val="5D3F3466"/>
    <w:rsid w:val="5D5617A6"/>
    <w:rsid w:val="5D716329"/>
    <w:rsid w:val="5EA23F15"/>
    <w:rsid w:val="5EA7685B"/>
    <w:rsid w:val="5ED40954"/>
    <w:rsid w:val="5EFA4E95"/>
    <w:rsid w:val="60BE22C5"/>
    <w:rsid w:val="612C30C5"/>
    <w:rsid w:val="619A2BBF"/>
    <w:rsid w:val="61DF02D0"/>
    <w:rsid w:val="61FB37A1"/>
    <w:rsid w:val="62710E5F"/>
    <w:rsid w:val="62AD0966"/>
    <w:rsid w:val="63735B47"/>
    <w:rsid w:val="63FF1EA7"/>
    <w:rsid w:val="64201218"/>
    <w:rsid w:val="64C32497"/>
    <w:rsid w:val="669D0EEA"/>
    <w:rsid w:val="66B64FC1"/>
    <w:rsid w:val="66C861F9"/>
    <w:rsid w:val="66D04BBC"/>
    <w:rsid w:val="67655BF9"/>
    <w:rsid w:val="678C3343"/>
    <w:rsid w:val="67C6389B"/>
    <w:rsid w:val="685D4EEE"/>
    <w:rsid w:val="68AE1587"/>
    <w:rsid w:val="68CC4906"/>
    <w:rsid w:val="68D53E8D"/>
    <w:rsid w:val="69605268"/>
    <w:rsid w:val="699C76C5"/>
    <w:rsid w:val="6A194855"/>
    <w:rsid w:val="6A2F056E"/>
    <w:rsid w:val="6A7219A6"/>
    <w:rsid w:val="6B292599"/>
    <w:rsid w:val="6D9172E5"/>
    <w:rsid w:val="6DF1703F"/>
    <w:rsid w:val="6E133456"/>
    <w:rsid w:val="6ECB7DD2"/>
    <w:rsid w:val="6F123DD8"/>
    <w:rsid w:val="6F1E315D"/>
    <w:rsid w:val="6F2A3FC1"/>
    <w:rsid w:val="6F79454F"/>
    <w:rsid w:val="6F9153AC"/>
    <w:rsid w:val="6FE61065"/>
    <w:rsid w:val="70521A25"/>
    <w:rsid w:val="70675779"/>
    <w:rsid w:val="708633A4"/>
    <w:rsid w:val="70C135EC"/>
    <w:rsid w:val="712C7DE8"/>
    <w:rsid w:val="713E0334"/>
    <w:rsid w:val="716F5E64"/>
    <w:rsid w:val="72417AFE"/>
    <w:rsid w:val="72585CB5"/>
    <w:rsid w:val="729B5F03"/>
    <w:rsid w:val="72D92B78"/>
    <w:rsid w:val="72F62A89"/>
    <w:rsid w:val="731B289D"/>
    <w:rsid w:val="736D22BA"/>
    <w:rsid w:val="737357AF"/>
    <w:rsid w:val="74163BE4"/>
    <w:rsid w:val="74A928A6"/>
    <w:rsid w:val="75161F9C"/>
    <w:rsid w:val="75281843"/>
    <w:rsid w:val="75292EAC"/>
    <w:rsid w:val="755A5FEF"/>
    <w:rsid w:val="75775016"/>
    <w:rsid w:val="758E0106"/>
    <w:rsid w:val="7626762C"/>
    <w:rsid w:val="763869A4"/>
    <w:rsid w:val="7667781E"/>
    <w:rsid w:val="76DD4C80"/>
    <w:rsid w:val="778F5135"/>
    <w:rsid w:val="77B53D6B"/>
    <w:rsid w:val="77D54B08"/>
    <w:rsid w:val="78431DDA"/>
    <w:rsid w:val="784F7772"/>
    <w:rsid w:val="785868AD"/>
    <w:rsid w:val="78713929"/>
    <w:rsid w:val="78E55995"/>
    <w:rsid w:val="79267C0B"/>
    <w:rsid w:val="793F61E8"/>
    <w:rsid w:val="79C90FB7"/>
    <w:rsid w:val="7A25684F"/>
    <w:rsid w:val="7A2847FC"/>
    <w:rsid w:val="7A4975BA"/>
    <w:rsid w:val="7A5B105F"/>
    <w:rsid w:val="7A9E5DA7"/>
    <w:rsid w:val="7ABE4B56"/>
    <w:rsid w:val="7B264F79"/>
    <w:rsid w:val="7B3E5659"/>
    <w:rsid w:val="7B471C9D"/>
    <w:rsid w:val="7B4D21AB"/>
    <w:rsid w:val="7BCC4162"/>
    <w:rsid w:val="7C490DB7"/>
    <w:rsid w:val="7C7E37F7"/>
    <w:rsid w:val="7CD80967"/>
    <w:rsid w:val="7D0C2828"/>
    <w:rsid w:val="7D902239"/>
    <w:rsid w:val="7EAF7817"/>
    <w:rsid w:val="7F4E30FB"/>
    <w:rsid w:val="7F78012E"/>
    <w:rsid w:val="7F7B591C"/>
    <w:rsid w:val="7FC51DE6"/>
    <w:rsid w:val="7FD644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iPriority="0"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1"/>
      <w:lang w:val="en-US" w:eastAsia="zh-CN" w:bidi="ar-SA"/>
    </w:rPr>
  </w:style>
  <w:style w:type="paragraph" w:styleId="3">
    <w:name w:val="heading 1"/>
    <w:basedOn w:val="1"/>
    <w:next w:val="1"/>
    <w:link w:val="9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03"/>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04"/>
    <w:semiHidden/>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105"/>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106"/>
    <w:semiHidden/>
    <w:unhideWhenUsed/>
    <w:qFormat/>
    <w:uiPriority w:val="0"/>
    <w:pPr>
      <w:keepNext/>
      <w:keepLines/>
      <w:spacing w:before="280" w:after="290" w:line="376" w:lineRule="auto"/>
      <w:outlineLvl w:val="4"/>
    </w:pPr>
    <w:rPr>
      <w:b/>
      <w:bCs/>
      <w:sz w:val="28"/>
      <w:szCs w:val="28"/>
    </w:rPr>
  </w:style>
  <w:style w:type="paragraph" w:styleId="8">
    <w:name w:val="heading 6"/>
    <w:basedOn w:val="1"/>
    <w:next w:val="1"/>
    <w:link w:val="107"/>
    <w:semiHidden/>
    <w:unhideWhenUsed/>
    <w:qFormat/>
    <w:uiPriority w:val="0"/>
    <w:pPr>
      <w:keepNext/>
      <w:keepLines/>
      <w:spacing w:before="240" w:after="64" w:line="320" w:lineRule="auto"/>
      <w:outlineLvl w:val="5"/>
    </w:pPr>
    <w:rPr>
      <w:rFonts w:asciiTheme="majorHAnsi" w:hAnsiTheme="majorHAnsi" w:eastAsiaTheme="majorEastAsia" w:cstheme="majorBidi"/>
      <w:b/>
      <w:bCs/>
      <w:sz w:val="24"/>
      <w:szCs w:val="24"/>
    </w:rPr>
  </w:style>
  <w:style w:type="paragraph" w:styleId="9">
    <w:name w:val="heading 7"/>
    <w:basedOn w:val="1"/>
    <w:next w:val="1"/>
    <w:link w:val="108"/>
    <w:semiHidden/>
    <w:unhideWhenUsed/>
    <w:qFormat/>
    <w:uiPriority w:val="0"/>
    <w:pPr>
      <w:keepNext/>
      <w:keepLines/>
      <w:spacing w:before="240" w:after="64" w:line="320" w:lineRule="auto"/>
      <w:outlineLvl w:val="6"/>
    </w:pPr>
    <w:rPr>
      <w:b/>
      <w:bCs/>
      <w:sz w:val="24"/>
      <w:szCs w:val="24"/>
    </w:rPr>
  </w:style>
  <w:style w:type="paragraph" w:styleId="10">
    <w:name w:val="heading 8"/>
    <w:basedOn w:val="1"/>
    <w:next w:val="1"/>
    <w:link w:val="109"/>
    <w:semiHidden/>
    <w:unhideWhenUsed/>
    <w:qFormat/>
    <w:uiPriority w:val="0"/>
    <w:pPr>
      <w:keepNext/>
      <w:keepLines/>
      <w:spacing w:before="240" w:after="64" w:line="320" w:lineRule="auto"/>
      <w:outlineLvl w:val="7"/>
    </w:pPr>
    <w:rPr>
      <w:rFonts w:asciiTheme="majorHAnsi" w:hAnsiTheme="majorHAnsi" w:eastAsiaTheme="majorEastAsia" w:cstheme="majorBidi"/>
      <w:sz w:val="24"/>
      <w:szCs w:val="24"/>
    </w:rPr>
  </w:style>
  <w:style w:type="paragraph" w:styleId="11">
    <w:name w:val="heading 9"/>
    <w:basedOn w:val="1"/>
    <w:next w:val="1"/>
    <w:link w:val="110"/>
    <w:semiHidden/>
    <w:unhideWhenUsed/>
    <w:qFormat/>
    <w:uiPriority w:val="0"/>
    <w:pPr>
      <w:keepNext/>
      <w:keepLines/>
      <w:spacing w:before="240" w:after="64" w:line="320" w:lineRule="auto"/>
      <w:outlineLvl w:val="8"/>
    </w:pPr>
    <w:rPr>
      <w:rFonts w:asciiTheme="majorHAnsi" w:hAnsiTheme="majorHAnsi" w:eastAsiaTheme="majorEastAsia" w:cstheme="majorBidi"/>
    </w:rPr>
  </w:style>
  <w:style w:type="character" w:default="1" w:styleId="90">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115"/>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qFormat/>
    <w:uiPriority w:val="0"/>
    <w:pPr>
      <w:ind w:left="100" w:leftChars="400" w:hanging="200" w:hangingChars="200"/>
      <w:contextualSpacing/>
    </w:p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contextualSpacing/>
    </w:pPr>
  </w:style>
  <w:style w:type="paragraph" w:styleId="15">
    <w:name w:val="table of authorities"/>
    <w:basedOn w:val="1"/>
    <w:next w:val="1"/>
    <w:qFormat/>
    <w:uiPriority w:val="0"/>
    <w:pPr>
      <w:ind w:left="420" w:leftChars="200"/>
    </w:pPr>
  </w:style>
  <w:style w:type="paragraph" w:styleId="16">
    <w:name w:val="Note Heading"/>
    <w:basedOn w:val="1"/>
    <w:next w:val="1"/>
    <w:link w:val="140"/>
    <w:qFormat/>
    <w:uiPriority w:val="0"/>
    <w:pPr>
      <w:jc w:val="center"/>
    </w:pPr>
  </w:style>
  <w:style w:type="paragraph" w:styleId="17">
    <w:name w:val="List Bullet 4"/>
    <w:basedOn w:val="1"/>
    <w:qFormat/>
    <w:uiPriority w:val="0"/>
    <w:pPr>
      <w:numPr>
        <w:ilvl w:val="0"/>
        <w:numId w:val="2"/>
      </w:numPr>
      <w:contextualSpacing/>
    </w:pPr>
  </w:style>
  <w:style w:type="paragraph" w:styleId="18">
    <w:name w:val="index 8"/>
    <w:basedOn w:val="1"/>
    <w:next w:val="1"/>
    <w:qFormat/>
    <w:uiPriority w:val="0"/>
    <w:pPr>
      <w:ind w:left="1400" w:leftChars="1400"/>
    </w:pPr>
  </w:style>
  <w:style w:type="paragraph" w:styleId="19">
    <w:name w:val="E-mail Signature"/>
    <w:basedOn w:val="1"/>
    <w:link w:val="113"/>
    <w:qFormat/>
    <w:uiPriority w:val="0"/>
  </w:style>
  <w:style w:type="paragraph" w:styleId="20">
    <w:name w:val="List Number"/>
    <w:basedOn w:val="1"/>
    <w:qFormat/>
    <w:uiPriority w:val="0"/>
    <w:pPr>
      <w:numPr>
        <w:ilvl w:val="0"/>
        <w:numId w:val="3"/>
      </w:numPr>
      <w:contextualSpacing/>
    </w:pPr>
  </w:style>
  <w:style w:type="paragraph" w:styleId="21">
    <w:name w:val="Normal Indent"/>
    <w:basedOn w:val="1"/>
    <w:qFormat/>
    <w:uiPriority w:val="0"/>
    <w:pPr>
      <w:ind w:firstLine="420" w:firstLineChars="200"/>
    </w:pPr>
  </w:style>
  <w:style w:type="paragraph" w:styleId="22">
    <w:name w:val="caption"/>
    <w:basedOn w:val="1"/>
    <w:next w:val="1"/>
    <w:semiHidden/>
    <w:unhideWhenUsed/>
    <w:qFormat/>
    <w:uiPriority w:val="0"/>
    <w:rPr>
      <w:rFonts w:eastAsia="黑体" w:asciiTheme="majorHAnsi" w:hAnsiTheme="majorHAnsi" w:cstheme="majorBidi"/>
      <w:sz w:val="20"/>
      <w:szCs w:val="20"/>
    </w:rPr>
  </w:style>
  <w:style w:type="paragraph" w:styleId="23">
    <w:name w:val="index 5"/>
    <w:basedOn w:val="1"/>
    <w:next w:val="1"/>
    <w:qFormat/>
    <w:uiPriority w:val="0"/>
    <w:pPr>
      <w:ind w:left="800" w:leftChars="800"/>
    </w:pPr>
  </w:style>
  <w:style w:type="paragraph" w:styleId="24">
    <w:name w:val="List Bullet"/>
    <w:basedOn w:val="1"/>
    <w:qFormat/>
    <w:uiPriority w:val="0"/>
    <w:pPr>
      <w:numPr>
        <w:ilvl w:val="0"/>
        <w:numId w:val="4"/>
      </w:numPr>
      <w:contextualSpacing/>
    </w:pPr>
  </w:style>
  <w:style w:type="paragraph" w:styleId="25">
    <w:name w:val="envelope address"/>
    <w:basedOn w:val="1"/>
    <w:qFormat/>
    <w:uiPriority w:val="0"/>
    <w:pPr>
      <w:framePr w:w="7920" w:h="1980" w:hRule="exact" w:hSpace="180" w:wrap="auto" w:vAnchor="margin" w:hAnchor="page" w:xAlign="center" w:yAlign="bottom"/>
      <w:snapToGrid w:val="0"/>
      <w:ind w:left="100" w:leftChars="1400"/>
    </w:pPr>
    <w:rPr>
      <w:rFonts w:asciiTheme="majorHAnsi" w:hAnsiTheme="majorHAnsi" w:eastAsiaTheme="majorEastAsia" w:cstheme="majorBidi"/>
      <w:sz w:val="24"/>
      <w:szCs w:val="24"/>
    </w:rPr>
  </w:style>
  <w:style w:type="paragraph" w:styleId="26">
    <w:name w:val="Document Map"/>
    <w:basedOn w:val="1"/>
    <w:link w:val="127"/>
    <w:qFormat/>
    <w:uiPriority w:val="0"/>
    <w:rPr>
      <w:rFonts w:ascii="Microsoft YaHei UI" w:eastAsia="Microsoft YaHei UI"/>
      <w:sz w:val="18"/>
      <w:szCs w:val="18"/>
    </w:rPr>
  </w:style>
  <w:style w:type="paragraph" w:styleId="27">
    <w:name w:val="toa heading"/>
    <w:basedOn w:val="1"/>
    <w:next w:val="1"/>
    <w:qFormat/>
    <w:uiPriority w:val="0"/>
    <w:pPr>
      <w:spacing w:before="120"/>
    </w:pPr>
    <w:rPr>
      <w:rFonts w:asciiTheme="majorHAnsi" w:hAnsiTheme="majorHAnsi" w:eastAsiaTheme="majorEastAsia" w:cstheme="majorBidi"/>
      <w:sz w:val="24"/>
      <w:szCs w:val="24"/>
    </w:rPr>
  </w:style>
  <w:style w:type="paragraph" w:styleId="28">
    <w:name w:val="annotation text"/>
    <w:basedOn w:val="1"/>
    <w:link w:val="121"/>
    <w:qFormat/>
    <w:uiPriority w:val="0"/>
    <w:pPr>
      <w:jc w:val="left"/>
    </w:pPr>
  </w:style>
  <w:style w:type="paragraph" w:styleId="29">
    <w:name w:val="index 6"/>
    <w:basedOn w:val="1"/>
    <w:next w:val="1"/>
    <w:qFormat/>
    <w:uiPriority w:val="0"/>
    <w:pPr>
      <w:ind w:left="1000" w:leftChars="1000"/>
    </w:pPr>
  </w:style>
  <w:style w:type="paragraph" w:styleId="30">
    <w:name w:val="Salutation"/>
    <w:basedOn w:val="1"/>
    <w:next w:val="1"/>
    <w:link w:val="111"/>
    <w:qFormat/>
    <w:uiPriority w:val="0"/>
  </w:style>
  <w:style w:type="paragraph" w:styleId="31">
    <w:name w:val="Body Text 3"/>
    <w:basedOn w:val="1"/>
    <w:link w:val="137"/>
    <w:qFormat/>
    <w:uiPriority w:val="0"/>
    <w:pPr>
      <w:spacing w:after="120"/>
    </w:pPr>
    <w:rPr>
      <w:sz w:val="16"/>
      <w:szCs w:val="16"/>
    </w:rPr>
  </w:style>
  <w:style w:type="paragraph" w:styleId="32">
    <w:name w:val="Closing"/>
    <w:basedOn w:val="1"/>
    <w:link w:val="117"/>
    <w:qFormat/>
    <w:uiPriority w:val="0"/>
    <w:pPr>
      <w:ind w:left="100" w:leftChars="2100"/>
    </w:pPr>
  </w:style>
  <w:style w:type="paragraph" w:styleId="33">
    <w:name w:val="List Bullet 3"/>
    <w:basedOn w:val="1"/>
    <w:qFormat/>
    <w:uiPriority w:val="0"/>
    <w:pPr>
      <w:numPr>
        <w:ilvl w:val="0"/>
        <w:numId w:val="5"/>
      </w:numPr>
      <w:contextualSpacing/>
    </w:pPr>
  </w:style>
  <w:style w:type="paragraph" w:styleId="34">
    <w:name w:val="Body Text"/>
    <w:basedOn w:val="1"/>
    <w:link w:val="132"/>
    <w:qFormat/>
    <w:uiPriority w:val="0"/>
    <w:pPr>
      <w:spacing w:after="120"/>
    </w:pPr>
  </w:style>
  <w:style w:type="paragraph" w:styleId="35">
    <w:name w:val="Body Text Indent"/>
    <w:basedOn w:val="1"/>
    <w:link w:val="134"/>
    <w:qFormat/>
    <w:uiPriority w:val="0"/>
    <w:pPr>
      <w:spacing w:after="120"/>
      <w:ind w:left="420" w:leftChars="200"/>
    </w:pPr>
  </w:style>
  <w:style w:type="paragraph" w:styleId="36">
    <w:name w:val="List Number 3"/>
    <w:basedOn w:val="1"/>
    <w:qFormat/>
    <w:uiPriority w:val="0"/>
    <w:pPr>
      <w:numPr>
        <w:ilvl w:val="0"/>
        <w:numId w:val="6"/>
      </w:numPr>
      <w:contextualSpacing/>
    </w:pPr>
  </w:style>
  <w:style w:type="paragraph" w:styleId="37">
    <w:name w:val="List 2"/>
    <w:basedOn w:val="1"/>
    <w:qFormat/>
    <w:uiPriority w:val="0"/>
    <w:pPr>
      <w:ind w:left="100" w:leftChars="200" w:hanging="200" w:hangingChars="200"/>
      <w:contextualSpacing/>
    </w:pPr>
  </w:style>
  <w:style w:type="paragraph" w:styleId="38">
    <w:name w:val="List Continue"/>
    <w:basedOn w:val="1"/>
    <w:qFormat/>
    <w:uiPriority w:val="0"/>
    <w:pPr>
      <w:spacing w:after="120"/>
      <w:ind w:left="420" w:leftChars="200"/>
      <w:contextualSpacing/>
    </w:pPr>
  </w:style>
  <w:style w:type="paragraph" w:styleId="39">
    <w:name w:val="Block Text"/>
    <w:basedOn w:val="1"/>
    <w:qFormat/>
    <w:uiPriority w:val="0"/>
    <w:pPr>
      <w:spacing w:after="120"/>
      <w:ind w:left="1440" w:leftChars="700" w:right="1440" w:rightChars="700"/>
    </w:pPr>
  </w:style>
  <w:style w:type="paragraph" w:styleId="40">
    <w:name w:val="List Bullet 2"/>
    <w:basedOn w:val="1"/>
    <w:qFormat/>
    <w:uiPriority w:val="0"/>
    <w:pPr>
      <w:numPr>
        <w:ilvl w:val="0"/>
        <w:numId w:val="7"/>
      </w:numPr>
      <w:contextualSpacing/>
    </w:pPr>
  </w:style>
  <w:style w:type="paragraph" w:styleId="41">
    <w:name w:val="HTML Address"/>
    <w:basedOn w:val="1"/>
    <w:link w:val="99"/>
    <w:qFormat/>
    <w:uiPriority w:val="0"/>
    <w:rPr>
      <w:i/>
      <w:iCs/>
    </w:rPr>
  </w:style>
  <w:style w:type="paragraph" w:styleId="42">
    <w:name w:val="index 4"/>
    <w:basedOn w:val="1"/>
    <w:next w:val="1"/>
    <w:qFormat/>
    <w:uiPriority w:val="0"/>
    <w:pPr>
      <w:ind w:left="600" w:leftChars="600"/>
    </w:pPr>
  </w:style>
  <w:style w:type="paragraph" w:styleId="43">
    <w:name w:val="toc 5"/>
    <w:basedOn w:val="1"/>
    <w:next w:val="1"/>
    <w:qFormat/>
    <w:uiPriority w:val="0"/>
    <w:pPr>
      <w:ind w:left="1680" w:leftChars="800"/>
    </w:pPr>
  </w:style>
  <w:style w:type="paragraph" w:styleId="44">
    <w:name w:val="toc 3"/>
    <w:basedOn w:val="1"/>
    <w:next w:val="1"/>
    <w:qFormat/>
    <w:uiPriority w:val="0"/>
    <w:pPr>
      <w:ind w:left="840" w:leftChars="400"/>
    </w:pPr>
  </w:style>
  <w:style w:type="paragraph" w:styleId="45">
    <w:name w:val="Plain Text"/>
    <w:basedOn w:val="1"/>
    <w:link w:val="112"/>
    <w:qFormat/>
    <w:uiPriority w:val="0"/>
    <w:rPr>
      <w:rFonts w:hAnsi="Courier New" w:cs="Courier New" w:asciiTheme="minorEastAsia" w:eastAsiaTheme="minorEastAsia"/>
    </w:rPr>
  </w:style>
  <w:style w:type="paragraph" w:styleId="46">
    <w:name w:val="List Bullet 5"/>
    <w:basedOn w:val="1"/>
    <w:qFormat/>
    <w:uiPriority w:val="0"/>
    <w:pPr>
      <w:numPr>
        <w:ilvl w:val="0"/>
        <w:numId w:val="8"/>
      </w:numPr>
      <w:contextualSpacing/>
    </w:pPr>
  </w:style>
  <w:style w:type="paragraph" w:styleId="47">
    <w:name w:val="List Number 4"/>
    <w:basedOn w:val="1"/>
    <w:qFormat/>
    <w:uiPriority w:val="0"/>
    <w:pPr>
      <w:numPr>
        <w:ilvl w:val="0"/>
        <w:numId w:val="9"/>
      </w:numPr>
      <w:contextualSpacing/>
    </w:pPr>
  </w:style>
  <w:style w:type="paragraph" w:styleId="48">
    <w:name w:val="toc 8"/>
    <w:basedOn w:val="1"/>
    <w:next w:val="1"/>
    <w:qFormat/>
    <w:uiPriority w:val="0"/>
    <w:pPr>
      <w:ind w:left="2940" w:leftChars="1400"/>
    </w:pPr>
  </w:style>
  <w:style w:type="paragraph" w:styleId="49">
    <w:name w:val="index 3"/>
    <w:basedOn w:val="1"/>
    <w:next w:val="1"/>
    <w:qFormat/>
    <w:uiPriority w:val="0"/>
    <w:pPr>
      <w:ind w:left="400" w:leftChars="400"/>
    </w:pPr>
  </w:style>
  <w:style w:type="paragraph" w:styleId="50">
    <w:name w:val="Date"/>
    <w:basedOn w:val="1"/>
    <w:next w:val="1"/>
    <w:link w:val="124"/>
    <w:qFormat/>
    <w:uiPriority w:val="0"/>
    <w:pPr>
      <w:ind w:left="100" w:leftChars="2500"/>
    </w:pPr>
  </w:style>
  <w:style w:type="paragraph" w:styleId="51">
    <w:name w:val="Body Text Indent 2"/>
    <w:basedOn w:val="1"/>
    <w:link w:val="138"/>
    <w:qFormat/>
    <w:uiPriority w:val="0"/>
    <w:pPr>
      <w:spacing w:after="120" w:line="480" w:lineRule="auto"/>
      <w:ind w:left="420" w:leftChars="200"/>
    </w:pPr>
  </w:style>
  <w:style w:type="paragraph" w:styleId="52">
    <w:name w:val="endnote text"/>
    <w:basedOn w:val="1"/>
    <w:link w:val="126"/>
    <w:qFormat/>
    <w:uiPriority w:val="0"/>
    <w:pPr>
      <w:snapToGrid w:val="0"/>
      <w:jc w:val="left"/>
    </w:pPr>
  </w:style>
  <w:style w:type="paragraph" w:styleId="53">
    <w:name w:val="List Continue 5"/>
    <w:basedOn w:val="1"/>
    <w:qFormat/>
    <w:uiPriority w:val="0"/>
    <w:pPr>
      <w:spacing w:after="120"/>
      <w:ind w:left="2100" w:leftChars="1000"/>
      <w:contextualSpacing/>
    </w:pPr>
  </w:style>
  <w:style w:type="paragraph" w:styleId="54">
    <w:name w:val="Balloon Text"/>
    <w:basedOn w:val="1"/>
    <w:link w:val="120"/>
    <w:semiHidden/>
    <w:unhideWhenUsed/>
    <w:qFormat/>
    <w:uiPriority w:val="0"/>
    <w:rPr>
      <w:sz w:val="18"/>
      <w:szCs w:val="18"/>
    </w:rPr>
  </w:style>
  <w:style w:type="paragraph" w:styleId="55">
    <w:name w:val="footer"/>
    <w:basedOn w:val="1"/>
    <w:qFormat/>
    <w:uiPriority w:val="0"/>
    <w:pPr>
      <w:tabs>
        <w:tab w:val="center" w:pos="4153"/>
        <w:tab w:val="right" w:pos="8306"/>
      </w:tabs>
      <w:snapToGrid w:val="0"/>
      <w:jc w:val="left"/>
    </w:pPr>
    <w:rPr>
      <w:sz w:val="18"/>
    </w:rPr>
  </w:style>
  <w:style w:type="paragraph" w:styleId="56">
    <w:name w:val="envelope return"/>
    <w:basedOn w:val="1"/>
    <w:qFormat/>
    <w:uiPriority w:val="0"/>
    <w:pPr>
      <w:snapToGrid w:val="0"/>
    </w:pPr>
    <w:rPr>
      <w:rFonts w:asciiTheme="majorHAnsi" w:hAnsiTheme="majorHAnsi" w:eastAsiaTheme="majorEastAsia" w:cstheme="majorBidi"/>
    </w:rPr>
  </w:style>
  <w:style w:type="paragraph" w:styleId="5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8">
    <w:name w:val="Signature"/>
    <w:basedOn w:val="1"/>
    <w:link w:val="123"/>
    <w:qFormat/>
    <w:uiPriority w:val="0"/>
    <w:pPr>
      <w:ind w:left="100" w:leftChars="2100"/>
    </w:pPr>
  </w:style>
  <w:style w:type="paragraph" w:styleId="59">
    <w:name w:val="toc 1"/>
    <w:basedOn w:val="1"/>
    <w:next w:val="1"/>
    <w:qFormat/>
    <w:uiPriority w:val="39"/>
  </w:style>
  <w:style w:type="paragraph" w:styleId="60">
    <w:name w:val="List Continue 4"/>
    <w:basedOn w:val="1"/>
    <w:qFormat/>
    <w:uiPriority w:val="0"/>
    <w:pPr>
      <w:spacing w:after="120"/>
      <w:ind w:left="1680" w:leftChars="800"/>
      <w:contextualSpacing/>
    </w:pPr>
  </w:style>
  <w:style w:type="paragraph" w:styleId="61">
    <w:name w:val="toc 4"/>
    <w:basedOn w:val="1"/>
    <w:next w:val="1"/>
    <w:qFormat/>
    <w:uiPriority w:val="0"/>
    <w:pPr>
      <w:ind w:left="1260" w:leftChars="600"/>
    </w:pPr>
  </w:style>
  <w:style w:type="paragraph" w:styleId="62">
    <w:name w:val="index heading"/>
    <w:basedOn w:val="1"/>
    <w:next w:val="63"/>
    <w:qFormat/>
    <w:uiPriority w:val="0"/>
    <w:rPr>
      <w:rFonts w:asciiTheme="majorHAnsi" w:hAnsiTheme="majorHAnsi" w:eastAsiaTheme="majorEastAsia" w:cstheme="majorBidi"/>
      <w:b/>
      <w:bCs/>
    </w:rPr>
  </w:style>
  <w:style w:type="paragraph" w:styleId="63">
    <w:name w:val="index 1"/>
    <w:basedOn w:val="1"/>
    <w:next w:val="1"/>
    <w:qFormat/>
    <w:uiPriority w:val="0"/>
  </w:style>
  <w:style w:type="paragraph" w:styleId="64">
    <w:name w:val="Subtitle"/>
    <w:basedOn w:val="1"/>
    <w:next w:val="1"/>
    <w:link w:val="114"/>
    <w:qFormat/>
    <w:uiPriority w:val="0"/>
    <w:pPr>
      <w:spacing w:before="240" w:after="60" w:line="312" w:lineRule="auto"/>
      <w:jc w:val="center"/>
      <w:outlineLvl w:val="1"/>
    </w:pPr>
    <w:rPr>
      <w:rFonts w:eastAsiaTheme="minorEastAsia"/>
      <w:b/>
      <w:bCs/>
      <w:kern w:val="28"/>
      <w:sz w:val="32"/>
      <w:szCs w:val="32"/>
    </w:rPr>
  </w:style>
  <w:style w:type="paragraph" w:styleId="65">
    <w:name w:val="List Number 5"/>
    <w:basedOn w:val="1"/>
    <w:qFormat/>
    <w:uiPriority w:val="0"/>
    <w:pPr>
      <w:numPr>
        <w:ilvl w:val="0"/>
        <w:numId w:val="10"/>
      </w:numPr>
      <w:contextualSpacing/>
    </w:pPr>
  </w:style>
  <w:style w:type="paragraph" w:styleId="66">
    <w:name w:val="List"/>
    <w:basedOn w:val="1"/>
    <w:qFormat/>
    <w:uiPriority w:val="0"/>
    <w:pPr>
      <w:ind w:left="200" w:hanging="200" w:hangingChars="200"/>
      <w:contextualSpacing/>
    </w:pPr>
  </w:style>
  <w:style w:type="paragraph" w:styleId="67">
    <w:name w:val="footnote text"/>
    <w:basedOn w:val="1"/>
    <w:link w:val="116"/>
    <w:qFormat/>
    <w:uiPriority w:val="0"/>
    <w:pPr>
      <w:snapToGrid w:val="0"/>
      <w:jc w:val="left"/>
    </w:pPr>
    <w:rPr>
      <w:sz w:val="18"/>
      <w:szCs w:val="18"/>
    </w:rPr>
  </w:style>
  <w:style w:type="paragraph" w:styleId="68">
    <w:name w:val="toc 6"/>
    <w:basedOn w:val="1"/>
    <w:next w:val="1"/>
    <w:qFormat/>
    <w:uiPriority w:val="0"/>
    <w:pPr>
      <w:ind w:left="2100" w:leftChars="1000"/>
    </w:pPr>
  </w:style>
  <w:style w:type="paragraph" w:styleId="69">
    <w:name w:val="List 5"/>
    <w:basedOn w:val="1"/>
    <w:qFormat/>
    <w:uiPriority w:val="0"/>
    <w:pPr>
      <w:ind w:left="100" w:leftChars="800" w:hanging="200" w:hangingChars="200"/>
      <w:contextualSpacing/>
    </w:pPr>
  </w:style>
  <w:style w:type="paragraph" w:styleId="70">
    <w:name w:val="Body Text Indent 3"/>
    <w:basedOn w:val="1"/>
    <w:link w:val="139"/>
    <w:qFormat/>
    <w:uiPriority w:val="0"/>
    <w:pPr>
      <w:spacing w:after="120"/>
      <w:ind w:left="420" w:leftChars="200"/>
    </w:pPr>
    <w:rPr>
      <w:sz w:val="16"/>
      <w:szCs w:val="16"/>
    </w:rPr>
  </w:style>
  <w:style w:type="paragraph" w:styleId="71">
    <w:name w:val="index 7"/>
    <w:basedOn w:val="1"/>
    <w:next w:val="1"/>
    <w:qFormat/>
    <w:uiPriority w:val="0"/>
    <w:pPr>
      <w:ind w:left="1200" w:leftChars="1200"/>
    </w:pPr>
  </w:style>
  <w:style w:type="paragraph" w:styleId="72">
    <w:name w:val="index 9"/>
    <w:basedOn w:val="1"/>
    <w:next w:val="1"/>
    <w:qFormat/>
    <w:uiPriority w:val="0"/>
    <w:pPr>
      <w:ind w:left="1600" w:leftChars="1600"/>
    </w:pPr>
  </w:style>
  <w:style w:type="paragraph" w:styleId="73">
    <w:name w:val="table of figures"/>
    <w:basedOn w:val="1"/>
    <w:next w:val="1"/>
    <w:qFormat/>
    <w:uiPriority w:val="0"/>
    <w:pPr>
      <w:ind w:left="200" w:leftChars="200" w:hanging="200" w:hangingChars="200"/>
    </w:pPr>
  </w:style>
  <w:style w:type="paragraph" w:styleId="74">
    <w:name w:val="toc 2"/>
    <w:basedOn w:val="1"/>
    <w:next w:val="1"/>
    <w:qFormat/>
    <w:uiPriority w:val="39"/>
    <w:pPr>
      <w:ind w:left="420" w:leftChars="200"/>
    </w:pPr>
  </w:style>
  <w:style w:type="paragraph" w:styleId="75">
    <w:name w:val="toc 9"/>
    <w:basedOn w:val="1"/>
    <w:next w:val="1"/>
    <w:qFormat/>
    <w:uiPriority w:val="0"/>
    <w:pPr>
      <w:ind w:left="3360" w:leftChars="1600"/>
    </w:pPr>
  </w:style>
  <w:style w:type="paragraph" w:styleId="76">
    <w:name w:val="Body Text 2"/>
    <w:basedOn w:val="1"/>
    <w:link w:val="136"/>
    <w:qFormat/>
    <w:uiPriority w:val="0"/>
    <w:pPr>
      <w:spacing w:after="120" w:line="480" w:lineRule="auto"/>
    </w:pPr>
  </w:style>
  <w:style w:type="paragraph" w:styleId="77">
    <w:name w:val="List 4"/>
    <w:basedOn w:val="1"/>
    <w:qFormat/>
    <w:uiPriority w:val="0"/>
    <w:pPr>
      <w:ind w:left="100" w:leftChars="600" w:hanging="200" w:hangingChars="200"/>
      <w:contextualSpacing/>
    </w:pPr>
  </w:style>
  <w:style w:type="paragraph" w:styleId="78">
    <w:name w:val="List Continue 2"/>
    <w:basedOn w:val="1"/>
    <w:qFormat/>
    <w:uiPriority w:val="0"/>
    <w:pPr>
      <w:spacing w:after="120"/>
      <w:ind w:left="840" w:leftChars="400"/>
      <w:contextualSpacing/>
    </w:pPr>
  </w:style>
  <w:style w:type="paragraph" w:styleId="79">
    <w:name w:val="Message Header"/>
    <w:basedOn w:val="1"/>
    <w:link w:val="129"/>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szCs w:val="24"/>
    </w:rPr>
  </w:style>
  <w:style w:type="paragraph" w:styleId="80">
    <w:name w:val="HTML Preformatted"/>
    <w:basedOn w:val="1"/>
    <w:link w:val="100"/>
    <w:qFormat/>
    <w:uiPriority w:val="0"/>
    <w:rPr>
      <w:rFonts w:ascii="Courier New" w:hAnsi="Courier New" w:cs="Courier New"/>
      <w:sz w:val="20"/>
      <w:szCs w:val="20"/>
    </w:rPr>
  </w:style>
  <w:style w:type="paragraph" w:styleId="81">
    <w:name w:val="Normal (Web)"/>
    <w:basedOn w:val="1"/>
    <w:qFormat/>
    <w:uiPriority w:val="0"/>
    <w:rPr>
      <w:rFonts w:ascii="Times New Roman" w:hAnsi="Times New Roman" w:cs="Times New Roman"/>
      <w:sz w:val="24"/>
      <w:szCs w:val="24"/>
    </w:rPr>
  </w:style>
  <w:style w:type="paragraph" w:styleId="82">
    <w:name w:val="List Continue 3"/>
    <w:basedOn w:val="1"/>
    <w:qFormat/>
    <w:uiPriority w:val="0"/>
    <w:pPr>
      <w:spacing w:after="120"/>
      <w:ind w:left="1260" w:leftChars="600"/>
      <w:contextualSpacing/>
    </w:pPr>
  </w:style>
  <w:style w:type="paragraph" w:styleId="83">
    <w:name w:val="index 2"/>
    <w:basedOn w:val="1"/>
    <w:next w:val="1"/>
    <w:qFormat/>
    <w:uiPriority w:val="0"/>
    <w:pPr>
      <w:ind w:left="200" w:leftChars="200"/>
    </w:pPr>
  </w:style>
  <w:style w:type="paragraph" w:styleId="84">
    <w:name w:val="Title"/>
    <w:basedOn w:val="1"/>
    <w:next w:val="1"/>
    <w:link w:val="102"/>
    <w:qFormat/>
    <w:uiPriority w:val="0"/>
    <w:pPr>
      <w:spacing w:before="240" w:after="60"/>
      <w:jc w:val="center"/>
      <w:outlineLvl w:val="0"/>
    </w:pPr>
    <w:rPr>
      <w:rFonts w:asciiTheme="majorHAnsi" w:hAnsiTheme="majorHAnsi" w:eastAsiaTheme="majorEastAsia" w:cstheme="majorBidi"/>
      <w:b/>
      <w:bCs/>
      <w:sz w:val="32"/>
      <w:szCs w:val="32"/>
    </w:rPr>
  </w:style>
  <w:style w:type="paragraph" w:styleId="85">
    <w:name w:val="annotation subject"/>
    <w:basedOn w:val="28"/>
    <w:next w:val="28"/>
    <w:link w:val="122"/>
    <w:semiHidden/>
    <w:unhideWhenUsed/>
    <w:qFormat/>
    <w:uiPriority w:val="0"/>
    <w:rPr>
      <w:b/>
      <w:bCs/>
    </w:rPr>
  </w:style>
  <w:style w:type="paragraph" w:styleId="86">
    <w:name w:val="Body Text First Indent"/>
    <w:basedOn w:val="34"/>
    <w:link w:val="133"/>
    <w:qFormat/>
    <w:uiPriority w:val="0"/>
    <w:pPr>
      <w:ind w:firstLine="420" w:firstLineChars="100"/>
    </w:pPr>
  </w:style>
  <w:style w:type="paragraph" w:styleId="87">
    <w:name w:val="Body Text First Indent 2"/>
    <w:basedOn w:val="35"/>
    <w:link w:val="135"/>
    <w:qFormat/>
    <w:uiPriority w:val="0"/>
    <w:pPr>
      <w:ind w:firstLine="420" w:firstLineChars="200"/>
    </w:pPr>
  </w:style>
  <w:style w:type="table" w:styleId="89">
    <w:name w:val="Table Grid"/>
    <w:basedOn w:val="88"/>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1">
    <w:name w:val="FollowedHyperlink"/>
    <w:basedOn w:val="90"/>
    <w:qFormat/>
    <w:uiPriority w:val="0"/>
    <w:rPr>
      <w:color w:val="954F72" w:themeColor="followedHyperlink"/>
      <w:u w:val="single"/>
      <w14:textFill>
        <w14:solidFill>
          <w14:schemeClr w14:val="folHlink"/>
        </w14:solidFill>
      </w14:textFill>
    </w:rPr>
  </w:style>
  <w:style w:type="character" w:styleId="92">
    <w:name w:val="Hyperlink"/>
    <w:basedOn w:val="90"/>
    <w:qFormat/>
    <w:uiPriority w:val="99"/>
    <w:rPr>
      <w:color w:val="0563C1" w:themeColor="hyperlink"/>
      <w:u w:val="single"/>
      <w14:textFill>
        <w14:solidFill>
          <w14:schemeClr w14:val="hlink"/>
        </w14:solidFill>
      </w14:textFill>
    </w:rPr>
  </w:style>
  <w:style w:type="paragraph" w:customStyle="1" w:styleId="93">
    <w:name w:val="paragraph"/>
    <w:basedOn w:val="1"/>
    <w:qFormat/>
    <w:uiPriority w:val="0"/>
    <w:pPr>
      <w:widowControl/>
      <w:spacing w:before="100" w:beforeAutospacing="1" w:after="100" w:afterAutospacing="1"/>
      <w:jc w:val="left"/>
    </w:pPr>
    <w:rPr>
      <w:rFonts w:ascii="宋体" w:hAnsi="宋体" w:cs="宋体"/>
      <w:kern w:val="0"/>
      <w:sz w:val="24"/>
      <w:szCs w:val="24"/>
    </w:rPr>
  </w:style>
  <w:style w:type="paragraph" w:styleId="94">
    <w:name w:val="List Paragraph"/>
    <w:basedOn w:val="1"/>
    <w:qFormat/>
    <w:uiPriority w:val="99"/>
    <w:pPr>
      <w:ind w:firstLine="420" w:firstLineChars="200"/>
    </w:pPr>
  </w:style>
  <w:style w:type="paragraph" w:customStyle="1" w:styleId="95">
    <w:name w:val="WPSOffice手动目录 1"/>
    <w:qFormat/>
    <w:uiPriority w:val="0"/>
    <w:rPr>
      <w:rFonts w:ascii="Times New Roman" w:hAnsi="Times New Roman" w:eastAsia="宋体" w:cs="Times New Roman"/>
      <w:lang w:val="en-US" w:eastAsia="zh-CN" w:bidi="ar-SA"/>
    </w:rPr>
  </w:style>
  <w:style w:type="paragraph" w:customStyle="1" w:styleId="96">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97">
    <w:name w:val="标题 1 字符"/>
    <w:basedOn w:val="90"/>
    <w:link w:val="3"/>
    <w:qFormat/>
    <w:uiPriority w:val="0"/>
    <w:rPr>
      <w:rFonts w:asciiTheme="minorHAnsi" w:hAnsiTheme="minorHAnsi" w:cstheme="minorBidi"/>
      <w:b/>
      <w:bCs/>
      <w:kern w:val="44"/>
      <w:sz w:val="44"/>
      <w:szCs w:val="44"/>
    </w:rPr>
  </w:style>
  <w:style w:type="paragraph" w:customStyle="1" w:styleId="98">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99">
    <w:name w:val="HTML 地址 字符"/>
    <w:basedOn w:val="90"/>
    <w:link w:val="41"/>
    <w:qFormat/>
    <w:uiPriority w:val="0"/>
    <w:rPr>
      <w:rFonts w:asciiTheme="minorHAnsi" w:hAnsiTheme="minorHAnsi" w:cstheme="minorBidi"/>
      <w:i/>
      <w:iCs/>
      <w:kern w:val="2"/>
      <w:sz w:val="21"/>
      <w:szCs w:val="21"/>
    </w:rPr>
  </w:style>
  <w:style w:type="character" w:customStyle="1" w:styleId="100">
    <w:name w:val="HTML 预设格式 字符"/>
    <w:basedOn w:val="90"/>
    <w:link w:val="80"/>
    <w:qFormat/>
    <w:uiPriority w:val="0"/>
    <w:rPr>
      <w:rFonts w:ascii="Courier New" w:hAnsi="Courier New" w:cs="Courier New"/>
      <w:kern w:val="2"/>
    </w:rPr>
  </w:style>
  <w:style w:type="paragraph" w:customStyle="1" w:styleId="101">
    <w:name w:val="TOC Heading"/>
    <w:basedOn w:val="3"/>
    <w:next w:val="1"/>
    <w:semiHidden/>
    <w:unhideWhenUsed/>
    <w:qFormat/>
    <w:uiPriority w:val="39"/>
    <w:pPr>
      <w:outlineLvl w:val="9"/>
    </w:pPr>
  </w:style>
  <w:style w:type="character" w:customStyle="1" w:styleId="102">
    <w:name w:val="标题 字符"/>
    <w:basedOn w:val="90"/>
    <w:link w:val="84"/>
    <w:qFormat/>
    <w:uiPriority w:val="0"/>
    <w:rPr>
      <w:rFonts w:asciiTheme="majorHAnsi" w:hAnsiTheme="majorHAnsi" w:eastAsiaTheme="majorEastAsia" w:cstheme="majorBidi"/>
      <w:b/>
      <w:bCs/>
      <w:kern w:val="2"/>
      <w:sz w:val="32"/>
      <w:szCs w:val="32"/>
    </w:rPr>
  </w:style>
  <w:style w:type="character" w:customStyle="1" w:styleId="103">
    <w:name w:val="标题 2 字符"/>
    <w:basedOn w:val="90"/>
    <w:link w:val="4"/>
    <w:semiHidden/>
    <w:qFormat/>
    <w:uiPriority w:val="0"/>
    <w:rPr>
      <w:rFonts w:asciiTheme="majorHAnsi" w:hAnsiTheme="majorHAnsi" w:eastAsiaTheme="majorEastAsia" w:cstheme="majorBidi"/>
      <w:b/>
      <w:bCs/>
      <w:kern w:val="2"/>
      <w:sz w:val="32"/>
      <w:szCs w:val="32"/>
    </w:rPr>
  </w:style>
  <w:style w:type="character" w:customStyle="1" w:styleId="104">
    <w:name w:val="标题 3 字符"/>
    <w:basedOn w:val="90"/>
    <w:link w:val="5"/>
    <w:semiHidden/>
    <w:qFormat/>
    <w:uiPriority w:val="0"/>
    <w:rPr>
      <w:rFonts w:asciiTheme="minorHAnsi" w:hAnsiTheme="minorHAnsi" w:cstheme="minorBidi"/>
      <w:b/>
      <w:bCs/>
      <w:kern w:val="2"/>
      <w:sz w:val="32"/>
      <w:szCs w:val="32"/>
    </w:rPr>
  </w:style>
  <w:style w:type="character" w:customStyle="1" w:styleId="105">
    <w:name w:val="标题 4 字符"/>
    <w:basedOn w:val="90"/>
    <w:link w:val="6"/>
    <w:semiHidden/>
    <w:qFormat/>
    <w:uiPriority w:val="0"/>
    <w:rPr>
      <w:rFonts w:asciiTheme="majorHAnsi" w:hAnsiTheme="majorHAnsi" w:eastAsiaTheme="majorEastAsia" w:cstheme="majorBidi"/>
      <w:b/>
      <w:bCs/>
      <w:kern w:val="2"/>
      <w:sz w:val="28"/>
      <w:szCs w:val="28"/>
    </w:rPr>
  </w:style>
  <w:style w:type="character" w:customStyle="1" w:styleId="106">
    <w:name w:val="标题 5 字符"/>
    <w:basedOn w:val="90"/>
    <w:link w:val="7"/>
    <w:semiHidden/>
    <w:qFormat/>
    <w:uiPriority w:val="0"/>
    <w:rPr>
      <w:rFonts w:asciiTheme="minorHAnsi" w:hAnsiTheme="minorHAnsi" w:cstheme="minorBidi"/>
      <w:b/>
      <w:bCs/>
      <w:kern w:val="2"/>
      <w:sz w:val="28"/>
      <w:szCs w:val="28"/>
    </w:rPr>
  </w:style>
  <w:style w:type="character" w:customStyle="1" w:styleId="107">
    <w:name w:val="标题 6 字符"/>
    <w:basedOn w:val="90"/>
    <w:link w:val="8"/>
    <w:semiHidden/>
    <w:qFormat/>
    <w:uiPriority w:val="0"/>
    <w:rPr>
      <w:rFonts w:asciiTheme="majorHAnsi" w:hAnsiTheme="majorHAnsi" w:eastAsiaTheme="majorEastAsia" w:cstheme="majorBidi"/>
      <w:b/>
      <w:bCs/>
      <w:kern w:val="2"/>
      <w:sz w:val="24"/>
      <w:szCs w:val="24"/>
    </w:rPr>
  </w:style>
  <w:style w:type="character" w:customStyle="1" w:styleId="108">
    <w:name w:val="标题 7 字符"/>
    <w:basedOn w:val="90"/>
    <w:link w:val="9"/>
    <w:semiHidden/>
    <w:qFormat/>
    <w:uiPriority w:val="0"/>
    <w:rPr>
      <w:rFonts w:asciiTheme="minorHAnsi" w:hAnsiTheme="minorHAnsi" w:cstheme="minorBidi"/>
      <w:b/>
      <w:bCs/>
      <w:kern w:val="2"/>
      <w:sz w:val="24"/>
      <w:szCs w:val="24"/>
    </w:rPr>
  </w:style>
  <w:style w:type="character" w:customStyle="1" w:styleId="109">
    <w:name w:val="标题 8 字符"/>
    <w:basedOn w:val="90"/>
    <w:link w:val="10"/>
    <w:semiHidden/>
    <w:qFormat/>
    <w:uiPriority w:val="0"/>
    <w:rPr>
      <w:rFonts w:asciiTheme="majorHAnsi" w:hAnsiTheme="majorHAnsi" w:eastAsiaTheme="majorEastAsia" w:cstheme="majorBidi"/>
      <w:kern w:val="2"/>
      <w:sz w:val="24"/>
      <w:szCs w:val="24"/>
    </w:rPr>
  </w:style>
  <w:style w:type="character" w:customStyle="1" w:styleId="110">
    <w:name w:val="标题 9 字符"/>
    <w:basedOn w:val="90"/>
    <w:link w:val="11"/>
    <w:semiHidden/>
    <w:qFormat/>
    <w:uiPriority w:val="0"/>
    <w:rPr>
      <w:rFonts w:asciiTheme="majorHAnsi" w:hAnsiTheme="majorHAnsi" w:eastAsiaTheme="majorEastAsia" w:cstheme="majorBidi"/>
      <w:kern w:val="2"/>
      <w:sz w:val="21"/>
      <w:szCs w:val="21"/>
    </w:rPr>
  </w:style>
  <w:style w:type="character" w:customStyle="1" w:styleId="111">
    <w:name w:val="称呼 字符"/>
    <w:basedOn w:val="90"/>
    <w:link w:val="30"/>
    <w:qFormat/>
    <w:uiPriority w:val="0"/>
    <w:rPr>
      <w:rFonts w:asciiTheme="minorHAnsi" w:hAnsiTheme="minorHAnsi" w:cstheme="minorBidi"/>
      <w:kern w:val="2"/>
      <w:sz w:val="21"/>
      <w:szCs w:val="21"/>
    </w:rPr>
  </w:style>
  <w:style w:type="character" w:customStyle="1" w:styleId="112">
    <w:name w:val="纯文本 字符"/>
    <w:basedOn w:val="90"/>
    <w:link w:val="45"/>
    <w:qFormat/>
    <w:uiPriority w:val="0"/>
    <w:rPr>
      <w:rFonts w:hAnsi="Courier New" w:cs="Courier New" w:asciiTheme="minorEastAsia" w:eastAsiaTheme="minorEastAsia"/>
      <w:kern w:val="2"/>
      <w:sz w:val="21"/>
      <w:szCs w:val="21"/>
    </w:rPr>
  </w:style>
  <w:style w:type="character" w:customStyle="1" w:styleId="113">
    <w:name w:val="电子邮件签名 字符"/>
    <w:basedOn w:val="90"/>
    <w:link w:val="19"/>
    <w:qFormat/>
    <w:uiPriority w:val="0"/>
    <w:rPr>
      <w:rFonts w:asciiTheme="minorHAnsi" w:hAnsiTheme="minorHAnsi" w:cstheme="minorBidi"/>
      <w:kern w:val="2"/>
      <w:sz w:val="21"/>
      <w:szCs w:val="21"/>
    </w:rPr>
  </w:style>
  <w:style w:type="character" w:customStyle="1" w:styleId="114">
    <w:name w:val="副标题 字符"/>
    <w:basedOn w:val="90"/>
    <w:link w:val="64"/>
    <w:qFormat/>
    <w:uiPriority w:val="0"/>
    <w:rPr>
      <w:rFonts w:asciiTheme="minorHAnsi" w:hAnsiTheme="minorHAnsi" w:eastAsiaTheme="minorEastAsia" w:cstheme="minorBidi"/>
      <w:b/>
      <w:bCs/>
      <w:kern w:val="28"/>
      <w:sz w:val="32"/>
      <w:szCs w:val="32"/>
    </w:rPr>
  </w:style>
  <w:style w:type="character" w:customStyle="1" w:styleId="115">
    <w:name w:val="宏文本 字符"/>
    <w:basedOn w:val="90"/>
    <w:link w:val="2"/>
    <w:qFormat/>
    <w:uiPriority w:val="0"/>
    <w:rPr>
      <w:rFonts w:ascii="Courier New" w:hAnsi="Courier New" w:cs="Courier New"/>
      <w:kern w:val="2"/>
      <w:sz w:val="24"/>
      <w:szCs w:val="24"/>
    </w:rPr>
  </w:style>
  <w:style w:type="character" w:customStyle="1" w:styleId="116">
    <w:name w:val="脚注文本 字符"/>
    <w:basedOn w:val="90"/>
    <w:link w:val="67"/>
    <w:qFormat/>
    <w:uiPriority w:val="0"/>
    <w:rPr>
      <w:rFonts w:asciiTheme="minorHAnsi" w:hAnsiTheme="minorHAnsi" w:cstheme="minorBidi"/>
      <w:kern w:val="2"/>
      <w:sz w:val="18"/>
      <w:szCs w:val="18"/>
    </w:rPr>
  </w:style>
  <w:style w:type="character" w:customStyle="1" w:styleId="117">
    <w:name w:val="结束语 字符"/>
    <w:basedOn w:val="90"/>
    <w:link w:val="32"/>
    <w:qFormat/>
    <w:uiPriority w:val="0"/>
    <w:rPr>
      <w:rFonts w:asciiTheme="minorHAnsi" w:hAnsiTheme="minorHAnsi" w:cstheme="minorBidi"/>
      <w:kern w:val="2"/>
      <w:sz w:val="21"/>
      <w:szCs w:val="21"/>
    </w:rPr>
  </w:style>
  <w:style w:type="paragraph" w:styleId="118">
    <w:name w:val="Intense Quote"/>
    <w:basedOn w:val="1"/>
    <w:next w:val="1"/>
    <w:link w:val="119"/>
    <w:qFormat/>
    <w:uiPriority w:val="99"/>
    <w:pPr>
      <w:pBdr>
        <w:top w:val="single" w:color="5B9BD5" w:themeColor="accent1" w:sz="4" w:space="10"/>
        <w:bottom w:val="single" w:color="5B9BD5" w:themeColor="accent1" w:sz="4" w:space="10"/>
      </w:pBdr>
      <w:spacing w:before="360" w:after="360"/>
      <w:ind w:left="864" w:right="864"/>
      <w:jc w:val="center"/>
    </w:pPr>
    <w:rPr>
      <w:i/>
      <w:iCs/>
      <w:color w:val="5B9BD5" w:themeColor="accent1"/>
      <w14:textFill>
        <w14:solidFill>
          <w14:schemeClr w14:val="accent1"/>
        </w14:solidFill>
      </w14:textFill>
    </w:rPr>
  </w:style>
  <w:style w:type="character" w:customStyle="1" w:styleId="119">
    <w:name w:val="明显引用 字符"/>
    <w:basedOn w:val="90"/>
    <w:link w:val="118"/>
    <w:qFormat/>
    <w:uiPriority w:val="99"/>
    <w:rPr>
      <w:rFonts w:asciiTheme="minorHAnsi" w:hAnsiTheme="minorHAnsi" w:cstheme="minorBidi"/>
      <w:i/>
      <w:iCs/>
      <w:color w:val="5B9BD5" w:themeColor="accent1"/>
      <w:kern w:val="2"/>
      <w:sz w:val="21"/>
      <w:szCs w:val="21"/>
      <w14:textFill>
        <w14:solidFill>
          <w14:schemeClr w14:val="accent1"/>
        </w14:solidFill>
      </w14:textFill>
    </w:rPr>
  </w:style>
  <w:style w:type="character" w:customStyle="1" w:styleId="120">
    <w:name w:val="批注框文本 字符"/>
    <w:basedOn w:val="90"/>
    <w:link w:val="54"/>
    <w:semiHidden/>
    <w:qFormat/>
    <w:uiPriority w:val="0"/>
    <w:rPr>
      <w:rFonts w:asciiTheme="minorHAnsi" w:hAnsiTheme="minorHAnsi" w:cstheme="minorBidi"/>
      <w:kern w:val="2"/>
      <w:sz w:val="18"/>
      <w:szCs w:val="18"/>
    </w:rPr>
  </w:style>
  <w:style w:type="character" w:customStyle="1" w:styleId="121">
    <w:name w:val="批注文字 字符"/>
    <w:basedOn w:val="90"/>
    <w:link w:val="28"/>
    <w:qFormat/>
    <w:uiPriority w:val="0"/>
    <w:rPr>
      <w:rFonts w:asciiTheme="minorHAnsi" w:hAnsiTheme="minorHAnsi" w:cstheme="minorBidi"/>
      <w:kern w:val="2"/>
      <w:sz w:val="21"/>
      <w:szCs w:val="21"/>
    </w:rPr>
  </w:style>
  <w:style w:type="character" w:customStyle="1" w:styleId="122">
    <w:name w:val="批注主题 字符"/>
    <w:basedOn w:val="121"/>
    <w:link w:val="85"/>
    <w:semiHidden/>
    <w:qFormat/>
    <w:uiPriority w:val="0"/>
    <w:rPr>
      <w:rFonts w:asciiTheme="minorHAnsi" w:hAnsiTheme="minorHAnsi" w:cstheme="minorBidi"/>
      <w:b/>
      <w:bCs/>
      <w:kern w:val="2"/>
      <w:sz w:val="21"/>
      <w:szCs w:val="21"/>
    </w:rPr>
  </w:style>
  <w:style w:type="character" w:customStyle="1" w:styleId="123">
    <w:name w:val="签名 字符"/>
    <w:basedOn w:val="90"/>
    <w:link w:val="58"/>
    <w:qFormat/>
    <w:uiPriority w:val="0"/>
    <w:rPr>
      <w:rFonts w:asciiTheme="minorHAnsi" w:hAnsiTheme="minorHAnsi" w:cstheme="minorBidi"/>
      <w:kern w:val="2"/>
      <w:sz w:val="21"/>
      <w:szCs w:val="21"/>
    </w:rPr>
  </w:style>
  <w:style w:type="character" w:customStyle="1" w:styleId="124">
    <w:name w:val="日期 字符"/>
    <w:basedOn w:val="90"/>
    <w:link w:val="50"/>
    <w:qFormat/>
    <w:uiPriority w:val="0"/>
    <w:rPr>
      <w:rFonts w:asciiTheme="minorHAnsi" w:hAnsiTheme="minorHAnsi" w:cstheme="minorBidi"/>
      <w:kern w:val="2"/>
      <w:sz w:val="21"/>
      <w:szCs w:val="21"/>
    </w:rPr>
  </w:style>
  <w:style w:type="paragraph" w:customStyle="1" w:styleId="125">
    <w:name w:val="Bibliography"/>
    <w:basedOn w:val="1"/>
    <w:next w:val="1"/>
    <w:semiHidden/>
    <w:unhideWhenUsed/>
    <w:qFormat/>
    <w:uiPriority w:val="37"/>
  </w:style>
  <w:style w:type="character" w:customStyle="1" w:styleId="126">
    <w:name w:val="尾注文本 字符"/>
    <w:basedOn w:val="90"/>
    <w:link w:val="52"/>
    <w:qFormat/>
    <w:uiPriority w:val="0"/>
    <w:rPr>
      <w:rFonts w:asciiTheme="minorHAnsi" w:hAnsiTheme="minorHAnsi" w:cstheme="minorBidi"/>
      <w:kern w:val="2"/>
      <w:sz w:val="21"/>
      <w:szCs w:val="21"/>
    </w:rPr>
  </w:style>
  <w:style w:type="character" w:customStyle="1" w:styleId="127">
    <w:name w:val="文档结构图 字符"/>
    <w:basedOn w:val="90"/>
    <w:link w:val="26"/>
    <w:qFormat/>
    <w:uiPriority w:val="0"/>
    <w:rPr>
      <w:rFonts w:ascii="Microsoft YaHei UI" w:eastAsia="Microsoft YaHei UI" w:hAnsiTheme="minorHAnsi" w:cstheme="minorBidi"/>
      <w:kern w:val="2"/>
      <w:sz w:val="18"/>
      <w:szCs w:val="18"/>
    </w:rPr>
  </w:style>
  <w:style w:type="paragraph" w:styleId="128">
    <w:name w:val="No Spacing"/>
    <w:qFormat/>
    <w:uiPriority w:val="99"/>
    <w:pPr>
      <w:widowControl w:val="0"/>
      <w:jc w:val="both"/>
    </w:pPr>
    <w:rPr>
      <w:rFonts w:eastAsia="宋体" w:asciiTheme="minorHAnsi" w:hAnsiTheme="minorHAnsi" w:cstheme="minorBidi"/>
      <w:kern w:val="2"/>
      <w:sz w:val="21"/>
      <w:szCs w:val="21"/>
      <w:lang w:val="en-US" w:eastAsia="zh-CN" w:bidi="ar-SA"/>
    </w:rPr>
  </w:style>
  <w:style w:type="character" w:customStyle="1" w:styleId="129">
    <w:name w:val="信息标题 字符"/>
    <w:basedOn w:val="90"/>
    <w:link w:val="79"/>
    <w:qFormat/>
    <w:uiPriority w:val="0"/>
    <w:rPr>
      <w:rFonts w:asciiTheme="majorHAnsi" w:hAnsiTheme="majorHAnsi" w:eastAsiaTheme="majorEastAsia" w:cstheme="majorBidi"/>
      <w:kern w:val="2"/>
      <w:sz w:val="24"/>
      <w:szCs w:val="24"/>
      <w:shd w:val="pct20" w:color="auto" w:fill="auto"/>
    </w:rPr>
  </w:style>
  <w:style w:type="paragraph" w:styleId="130">
    <w:name w:val="Quote"/>
    <w:basedOn w:val="1"/>
    <w:next w:val="1"/>
    <w:link w:val="131"/>
    <w:qFormat/>
    <w:uiPriority w:val="9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131">
    <w:name w:val="引用 字符"/>
    <w:basedOn w:val="90"/>
    <w:link w:val="130"/>
    <w:qFormat/>
    <w:uiPriority w:val="99"/>
    <w:rPr>
      <w:rFonts w:asciiTheme="minorHAnsi" w:hAnsiTheme="minorHAnsi" w:cstheme="minorBidi"/>
      <w:i/>
      <w:iCs/>
      <w:color w:val="404040" w:themeColor="text1" w:themeTint="BF"/>
      <w:kern w:val="2"/>
      <w:sz w:val="21"/>
      <w:szCs w:val="21"/>
      <w14:textFill>
        <w14:solidFill>
          <w14:schemeClr w14:val="tx1">
            <w14:lumMod w14:val="75000"/>
            <w14:lumOff w14:val="25000"/>
          </w14:schemeClr>
        </w14:solidFill>
      </w14:textFill>
    </w:rPr>
  </w:style>
  <w:style w:type="character" w:customStyle="1" w:styleId="132">
    <w:name w:val="正文文本 字符"/>
    <w:basedOn w:val="90"/>
    <w:link w:val="34"/>
    <w:qFormat/>
    <w:uiPriority w:val="0"/>
    <w:rPr>
      <w:rFonts w:asciiTheme="minorHAnsi" w:hAnsiTheme="minorHAnsi" w:cstheme="minorBidi"/>
      <w:kern w:val="2"/>
      <w:sz w:val="21"/>
      <w:szCs w:val="21"/>
    </w:rPr>
  </w:style>
  <w:style w:type="character" w:customStyle="1" w:styleId="133">
    <w:name w:val="正文首行缩进 字符"/>
    <w:basedOn w:val="132"/>
    <w:link w:val="86"/>
    <w:qFormat/>
    <w:uiPriority w:val="0"/>
    <w:rPr>
      <w:rFonts w:asciiTheme="minorHAnsi" w:hAnsiTheme="minorHAnsi" w:cstheme="minorBidi"/>
      <w:kern w:val="2"/>
      <w:sz w:val="21"/>
      <w:szCs w:val="21"/>
    </w:rPr>
  </w:style>
  <w:style w:type="character" w:customStyle="1" w:styleId="134">
    <w:name w:val="正文文本缩进 字符"/>
    <w:basedOn w:val="90"/>
    <w:link w:val="35"/>
    <w:qFormat/>
    <w:uiPriority w:val="0"/>
    <w:rPr>
      <w:rFonts w:asciiTheme="minorHAnsi" w:hAnsiTheme="minorHAnsi" w:cstheme="minorBidi"/>
      <w:kern w:val="2"/>
      <w:sz w:val="21"/>
      <w:szCs w:val="21"/>
    </w:rPr>
  </w:style>
  <w:style w:type="character" w:customStyle="1" w:styleId="135">
    <w:name w:val="正文首行缩进 2 字符"/>
    <w:basedOn w:val="134"/>
    <w:link w:val="87"/>
    <w:qFormat/>
    <w:uiPriority w:val="0"/>
    <w:rPr>
      <w:rFonts w:asciiTheme="minorHAnsi" w:hAnsiTheme="minorHAnsi" w:cstheme="minorBidi"/>
      <w:kern w:val="2"/>
      <w:sz w:val="21"/>
      <w:szCs w:val="21"/>
    </w:rPr>
  </w:style>
  <w:style w:type="character" w:customStyle="1" w:styleId="136">
    <w:name w:val="正文文本 2 字符"/>
    <w:basedOn w:val="90"/>
    <w:link w:val="76"/>
    <w:qFormat/>
    <w:uiPriority w:val="0"/>
    <w:rPr>
      <w:rFonts w:asciiTheme="minorHAnsi" w:hAnsiTheme="minorHAnsi" w:cstheme="minorBidi"/>
      <w:kern w:val="2"/>
      <w:sz w:val="21"/>
      <w:szCs w:val="21"/>
    </w:rPr>
  </w:style>
  <w:style w:type="character" w:customStyle="1" w:styleId="137">
    <w:name w:val="正文文本 3 字符"/>
    <w:basedOn w:val="90"/>
    <w:link w:val="31"/>
    <w:qFormat/>
    <w:uiPriority w:val="0"/>
    <w:rPr>
      <w:rFonts w:asciiTheme="minorHAnsi" w:hAnsiTheme="minorHAnsi" w:cstheme="minorBidi"/>
      <w:kern w:val="2"/>
      <w:sz w:val="16"/>
      <w:szCs w:val="16"/>
    </w:rPr>
  </w:style>
  <w:style w:type="character" w:customStyle="1" w:styleId="138">
    <w:name w:val="正文文本缩进 2 字符"/>
    <w:basedOn w:val="90"/>
    <w:link w:val="51"/>
    <w:qFormat/>
    <w:uiPriority w:val="0"/>
    <w:rPr>
      <w:rFonts w:asciiTheme="minorHAnsi" w:hAnsiTheme="minorHAnsi" w:cstheme="minorBidi"/>
      <w:kern w:val="2"/>
      <w:sz w:val="21"/>
      <w:szCs w:val="21"/>
    </w:rPr>
  </w:style>
  <w:style w:type="character" w:customStyle="1" w:styleId="139">
    <w:name w:val="正文文本缩进 3 字符"/>
    <w:basedOn w:val="90"/>
    <w:link w:val="70"/>
    <w:qFormat/>
    <w:uiPriority w:val="0"/>
    <w:rPr>
      <w:rFonts w:asciiTheme="minorHAnsi" w:hAnsiTheme="minorHAnsi" w:cstheme="minorBidi"/>
      <w:kern w:val="2"/>
      <w:sz w:val="16"/>
      <w:szCs w:val="16"/>
    </w:rPr>
  </w:style>
  <w:style w:type="character" w:customStyle="1" w:styleId="140">
    <w:name w:val="注释标题 字符"/>
    <w:basedOn w:val="90"/>
    <w:link w:val="16"/>
    <w:qFormat/>
    <w:uiPriority w:val="0"/>
    <w:rPr>
      <w:rFonts w:asciiTheme="minorHAnsi" w:hAnsiTheme="minorHAnsi" w:cstheme="minorBidi"/>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BB62F3-7168-4816-BD3F-CA0CD344F37D}">
  <ds:schemaRefs/>
</ds:datastoreItem>
</file>

<file path=docProps/app.xml><?xml version="1.0" encoding="utf-8"?>
<Properties xmlns="http://schemas.openxmlformats.org/officeDocument/2006/extended-properties" xmlns:vt="http://schemas.openxmlformats.org/officeDocument/2006/docPropsVTypes">
  <Template>Normal</Template>
  <Pages>8</Pages>
  <Words>6891</Words>
  <Characters>7327</Characters>
  <Lines>80</Lines>
  <Paragraphs>22</Paragraphs>
  <TotalTime>0</TotalTime>
  <ScaleCrop>false</ScaleCrop>
  <LinksUpToDate>false</LinksUpToDate>
  <CharactersWithSpaces>7427</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2022-11-15T10:06:00Z</dcterms:created>
  <dc:creator>yanjiusuo</dc:creator>
  <cp:lastModifiedBy>yang.jiahong</cp:lastModifiedBy>
  <cp:lastPrinted>2023-06-08T02:23:00Z</cp:lastPrinted>
  <dcterms:modified xsi:type="dcterms:W3CDTF">2024-10-22T02:55:35Z</dcterms:modified>
  <cp:revision>158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