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_Toc16778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_Toc19884 </w:instrText>
          </w:r>
          <w:r>
            <w:rPr>
              <w:bCs/>
            </w:rPr>
            <w:fldChar w:fldCharType="separate"/>
          </w:r>
          <w:r>
            <w:rPr>
              <w:rFonts w:hint="eastAsia" w:ascii="Times New Roman" w:hAnsi="Times New Roman" w:eastAsia="楷体"/>
              <w:szCs w:val="24"/>
            </w:rPr>
            <w:t>股指：短线多单逢高止盈待情绪平稳再行入场</w:t>
          </w:r>
          <w:r>
            <w:rPr>
              <w:bCs/>
            </w:rPr>
            <w:fldChar w:fldCharType="end"/>
          </w:r>
        </w:p>
        <w:p>
          <w:pPr>
            <w:pStyle w:val="59"/>
            <w:tabs>
              <w:tab w:val="right" w:leader="dot" w:pos="8306"/>
            </w:tabs>
          </w:pPr>
          <w:r>
            <w:rPr>
              <w:bCs/>
            </w:rPr>
            <w:fldChar w:fldCharType="begin"/>
          </w:r>
          <w:r>
            <w:rPr>
              <w:bCs/>
            </w:rPr>
            <w:instrText xml:space="preserve"> HYPERLINK \l _Toc30662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_Toc5549 </w:instrText>
          </w:r>
          <w:r>
            <w:rPr>
              <w:bCs/>
            </w:rPr>
            <w:fldChar w:fldCharType="separate"/>
          </w:r>
          <w:r>
            <w:rPr>
              <w:rFonts w:hint="eastAsia" w:ascii="Times New Roman" w:hAnsi="Times New Roman" w:eastAsia="楷体"/>
              <w:szCs w:val="24"/>
            </w:rPr>
            <w:t>贵金属：美国CPI超预期，贵金属价格反弹</w:t>
          </w:r>
          <w:r>
            <w:rPr>
              <w:bCs/>
            </w:rPr>
            <w:fldChar w:fldCharType="end"/>
          </w:r>
        </w:p>
        <w:p>
          <w:pPr>
            <w:pStyle w:val="59"/>
            <w:tabs>
              <w:tab w:val="right" w:leader="dot" w:pos="8306"/>
            </w:tabs>
          </w:pPr>
          <w:r>
            <w:rPr>
              <w:bCs/>
            </w:rPr>
            <w:fldChar w:fldCharType="begin"/>
          </w:r>
          <w:r>
            <w:rPr>
              <w:bCs/>
            </w:rPr>
            <w:instrText xml:space="preserve"> HYPERLINK \l _Toc4168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_Toc26808 </w:instrText>
          </w:r>
          <w:r>
            <w:rPr>
              <w:bCs/>
            </w:rPr>
            <w:fldChar w:fldCharType="separate"/>
          </w:r>
          <w:r>
            <w:rPr>
              <w:rFonts w:hint="eastAsia" w:ascii="楷体" w:hAnsi="楷体" w:eastAsia="楷体"/>
              <w:szCs w:val="24"/>
            </w:rPr>
            <w:t>碳酸锂：盐湖企业放货，期价有所下行</w:t>
          </w:r>
          <w:r>
            <w:rPr>
              <w:bCs/>
            </w:rPr>
            <w:fldChar w:fldCharType="end"/>
          </w:r>
        </w:p>
        <w:p>
          <w:pPr>
            <w:pStyle w:val="74"/>
            <w:tabs>
              <w:tab w:val="right" w:leader="dot" w:pos="8306"/>
            </w:tabs>
          </w:pPr>
          <w:r>
            <w:rPr>
              <w:bCs/>
            </w:rPr>
            <w:fldChar w:fldCharType="begin"/>
          </w:r>
          <w:r>
            <w:rPr>
              <w:bCs/>
            </w:rPr>
            <w:instrText xml:space="preserve"> HYPERLINK \l _Toc30483 </w:instrText>
          </w:r>
          <w:r>
            <w:rPr>
              <w:bCs/>
            </w:rPr>
            <w:fldChar w:fldCharType="separate"/>
          </w:r>
          <w:r>
            <w:rPr>
              <w:rFonts w:hint="eastAsia" w:ascii="楷体" w:hAnsi="楷体" w:eastAsia="楷体"/>
              <w:szCs w:val="24"/>
            </w:rPr>
            <w:t>铝：铝市价格偏强震荡</w:t>
          </w:r>
          <w:r>
            <w:rPr>
              <w:bCs/>
            </w:rPr>
            <w:fldChar w:fldCharType="end"/>
          </w:r>
        </w:p>
        <w:p>
          <w:pPr>
            <w:pStyle w:val="74"/>
            <w:tabs>
              <w:tab w:val="right" w:leader="dot" w:pos="8306"/>
            </w:tabs>
          </w:pPr>
          <w:r>
            <w:rPr>
              <w:bCs/>
            </w:rPr>
            <w:fldChar w:fldCharType="begin"/>
          </w:r>
          <w:r>
            <w:rPr>
              <w:bCs/>
            </w:rPr>
            <w:instrText xml:space="preserve"> HYPERLINK \l _Toc29614 </w:instrText>
          </w:r>
          <w:r>
            <w:rPr>
              <w:bCs/>
            </w:rPr>
            <w:fldChar w:fldCharType="separate"/>
          </w:r>
          <w:r>
            <w:rPr>
              <w:rFonts w:hint="eastAsia" w:ascii="楷体" w:hAnsi="楷体" w:eastAsia="楷体"/>
              <w:szCs w:val="24"/>
            </w:rPr>
            <w:t>锌：锌市上下有限，区间盘整</w:t>
          </w:r>
          <w:r>
            <w:rPr>
              <w:bCs/>
            </w:rPr>
            <w:fldChar w:fldCharType="end"/>
          </w:r>
        </w:p>
        <w:p>
          <w:pPr>
            <w:pStyle w:val="74"/>
            <w:tabs>
              <w:tab w:val="right" w:leader="dot" w:pos="8306"/>
            </w:tabs>
          </w:pPr>
          <w:r>
            <w:rPr>
              <w:bCs/>
            </w:rPr>
            <w:fldChar w:fldCharType="begin"/>
          </w:r>
          <w:r>
            <w:rPr>
              <w:bCs/>
            </w:rPr>
            <w:instrText xml:space="preserve"> HYPERLINK \l _Toc31433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：震荡为主</w:t>
          </w:r>
          <w:r>
            <w:rPr>
              <w:bCs/>
            </w:rPr>
            <w:fldChar w:fldCharType="end"/>
          </w:r>
        </w:p>
        <w:p>
          <w:pPr>
            <w:pStyle w:val="74"/>
            <w:tabs>
              <w:tab w:val="right" w:leader="dot" w:pos="8306"/>
            </w:tabs>
          </w:pPr>
          <w:r>
            <w:rPr>
              <w:bCs/>
            </w:rPr>
            <w:fldChar w:fldCharType="begin"/>
          </w:r>
          <w:r>
            <w:rPr>
              <w:bCs/>
            </w:rPr>
            <w:instrText xml:space="preserve"> HYPERLINK \l _Toc21222 </w:instrText>
          </w:r>
          <w:r>
            <w:rPr>
              <w:bCs/>
            </w:rPr>
            <w:fldChar w:fldCharType="separate"/>
          </w:r>
          <w:r>
            <w:rPr>
              <w:rFonts w:hint="eastAsia" w:ascii="楷体" w:hAnsi="楷体" w:eastAsia="楷体"/>
              <w:szCs w:val="24"/>
            </w:rPr>
            <w:t>镍：谨慎看待反弹空间</w:t>
          </w:r>
          <w:r>
            <w:rPr>
              <w:bCs/>
            </w:rPr>
            <w:fldChar w:fldCharType="end"/>
          </w:r>
        </w:p>
        <w:p>
          <w:pPr>
            <w:pStyle w:val="74"/>
            <w:tabs>
              <w:tab w:val="right" w:leader="dot" w:pos="8306"/>
            </w:tabs>
          </w:pPr>
          <w:r>
            <w:rPr>
              <w:bCs/>
            </w:rPr>
            <w:fldChar w:fldCharType="begin"/>
          </w:r>
          <w:r>
            <w:rPr>
              <w:bCs/>
            </w:rPr>
            <w:instrText xml:space="preserve"> HYPERLINK \l _Toc5556 </w:instrText>
          </w:r>
          <w:r>
            <w:rPr>
              <w:bCs/>
            </w:rPr>
            <w:fldChar w:fldCharType="separate"/>
          </w:r>
          <w:r>
            <w:rPr>
              <w:rFonts w:hint="eastAsia" w:ascii="楷体" w:hAnsi="楷体" w:eastAsia="楷体"/>
              <w:szCs w:val="24"/>
            </w:rPr>
            <w:t>锡：谨慎持多</w:t>
          </w:r>
          <w:r>
            <w:rPr>
              <w:bCs/>
            </w:rPr>
            <w:fldChar w:fldCharType="end"/>
          </w:r>
        </w:p>
        <w:p>
          <w:pPr>
            <w:pStyle w:val="74"/>
            <w:tabs>
              <w:tab w:val="right" w:leader="dot" w:pos="8306"/>
            </w:tabs>
          </w:pPr>
          <w:r>
            <w:rPr>
              <w:bCs/>
            </w:rPr>
            <w:fldChar w:fldCharType="begin"/>
          </w:r>
          <w:r>
            <w:rPr>
              <w:bCs/>
            </w:rPr>
            <w:instrText xml:space="preserve"> HYPERLINK \l _Toc29066 </w:instrText>
          </w:r>
          <w:r>
            <w:rPr>
              <w:bCs/>
            </w:rPr>
            <w:fldChar w:fldCharType="separate"/>
          </w:r>
          <w:r>
            <w:rPr>
              <w:rFonts w:hint="eastAsia" w:ascii="楷体" w:hAnsi="楷体" w:eastAsia="楷体"/>
              <w:szCs w:val="24"/>
            </w:rPr>
            <w:t>铅：供增需弱，铅价承压运行</w:t>
          </w:r>
          <w:r>
            <w:rPr>
              <w:bCs/>
            </w:rPr>
            <w:fldChar w:fldCharType="end"/>
          </w:r>
        </w:p>
        <w:p>
          <w:pPr>
            <w:pStyle w:val="74"/>
            <w:tabs>
              <w:tab w:val="right" w:leader="dot" w:pos="8306"/>
            </w:tabs>
          </w:pPr>
          <w:r>
            <w:rPr>
              <w:bCs/>
            </w:rPr>
            <w:fldChar w:fldCharType="begin"/>
          </w:r>
          <w:r>
            <w:rPr>
              <w:bCs/>
            </w:rPr>
            <w:instrText xml:space="preserve"> HYPERLINK \l _Toc8251 </w:instrText>
          </w:r>
          <w:r>
            <w:rPr>
              <w:bCs/>
            </w:rPr>
            <w:fldChar w:fldCharType="separate"/>
          </w:r>
          <w:r>
            <w:rPr>
              <w:rFonts w:hint="eastAsia" w:ascii="楷体" w:hAnsi="楷体" w:eastAsia="楷体"/>
              <w:szCs w:val="24"/>
            </w:rPr>
            <w:t>不锈钢：镍铁价格反弹，支撑不锈钢价</w:t>
          </w:r>
          <w:r>
            <w:rPr>
              <w:bCs/>
            </w:rPr>
            <w:fldChar w:fldCharType="end"/>
          </w:r>
        </w:p>
        <w:p>
          <w:pPr>
            <w:pStyle w:val="74"/>
            <w:tabs>
              <w:tab w:val="right" w:leader="dot" w:pos="8306"/>
            </w:tabs>
          </w:pPr>
          <w:r>
            <w:rPr>
              <w:bCs/>
            </w:rPr>
            <w:fldChar w:fldCharType="begin"/>
          </w:r>
          <w:r>
            <w:rPr>
              <w:bCs/>
            </w:rPr>
            <w:instrText xml:space="preserve"> HYPERLINK \l _Toc190 </w:instrText>
          </w:r>
          <w:r>
            <w:rPr>
              <w:bCs/>
            </w:rPr>
            <w:fldChar w:fldCharType="separate"/>
          </w:r>
          <w:r>
            <w:rPr>
              <w:rFonts w:hint="eastAsia" w:ascii="楷体" w:hAnsi="楷体" w:eastAsia="楷体"/>
              <w:szCs w:val="24"/>
            </w:rPr>
            <w:t>工业硅：仓单压力暂未完全释放，关注反套机会</w:t>
          </w:r>
          <w:r>
            <w:rPr>
              <w:bCs/>
            </w:rPr>
            <w:fldChar w:fldCharType="end"/>
          </w:r>
        </w:p>
        <w:p>
          <w:pPr>
            <w:pStyle w:val="74"/>
            <w:tabs>
              <w:tab w:val="right" w:leader="dot" w:pos="8306"/>
            </w:tabs>
          </w:pPr>
          <w:r>
            <w:rPr>
              <w:bCs/>
            </w:rPr>
            <w:fldChar w:fldCharType="begin"/>
          </w:r>
          <w:r>
            <w:rPr>
              <w:bCs/>
            </w:rPr>
            <w:instrText xml:space="preserve"> HYPERLINK \l _Toc16351 </w:instrText>
          </w:r>
          <w:r>
            <w:rPr>
              <w:bCs/>
            </w:rPr>
            <w:fldChar w:fldCharType="separate"/>
          </w:r>
          <w:r>
            <w:rPr>
              <w:rFonts w:hint="eastAsia" w:ascii="楷体" w:hAnsi="楷体" w:eastAsia="楷体"/>
              <w:szCs w:val="24"/>
            </w:rPr>
            <w:t>螺纹钢：财政会议即将召开，盘面或仍支撑</w:t>
          </w:r>
          <w:r>
            <w:rPr>
              <w:bCs/>
            </w:rPr>
            <w:fldChar w:fldCharType="end"/>
          </w:r>
        </w:p>
        <w:p>
          <w:pPr>
            <w:pStyle w:val="59"/>
            <w:tabs>
              <w:tab w:val="right" w:leader="dot" w:pos="8306"/>
            </w:tabs>
          </w:pPr>
          <w:r>
            <w:rPr>
              <w:bCs/>
            </w:rPr>
            <w:fldChar w:fldCharType="begin"/>
          </w:r>
          <w:r>
            <w:rPr>
              <w:bCs/>
            </w:rPr>
            <w:instrText xml:space="preserve"> HYPERLINK \l _Toc11562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_Toc16176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泰南地区雨天减少叠加EUDR政策延缓 胶价高位回落</w:t>
          </w:r>
          <w:r>
            <w:rPr>
              <w:bCs/>
            </w:rPr>
            <w:fldChar w:fldCharType="end"/>
          </w:r>
        </w:p>
        <w:p>
          <w:pPr>
            <w:pStyle w:val="74"/>
            <w:tabs>
              <w:tab w:val="right" w:leader="dot" w:pos="8306"/>
            </w:tabs>
          </w:pPr>
          <w:r>
            <w:rPr>
              <w:bCs/>
            </w:rPr>
            <w:fldChar w:fldCharType="begin"/>
          </w:r>
          <w:r>
            <w:rPr>
              <w:bCs/>
            </w:rPr>
            <w:instrText xml:space="preserve"> HYPERLINK \l _Toc11673 </w:instrText>
          </w:r>
          <w:r>
            <w:rPr>
              <w:bCs/>
            </w:rPr>
            <w:fldChar w:fldCharType="separate"/>
          </w:r>
          <w:r>
            <w:rPr>
              <w:rFonts w:hint="eastAsia" w:ascii="Times New Roman" w:hAnsi="Times New Roman" w:eastAsia="楷体"/>
              <w:szCs w:val="24"/>
            </w:rPr>
            <w:t>聚烯烃：原油反弹，聚烯烃暂时止跌</w:t>
          </w:r>
          <w:r>
            <w:rPr>
              <w:bCs/>
            </w:rPr>
            <w:fldChar w:fldCharType="end"/>
          </w:r>
        </w:p>
        <w:p>
          <w:pPr>
            <w:pStyle w:val="74"/>
            <w:tabs>
              <w:tab w:val="right" w:leader="dot" w:pos="8306"/>
            </w:tabs>
          </w:pPr>
          <w:r>
            <w:rPr>
              <w:bCs/>
            </w:rPr>
            <w:fldChar w:fldCharType="begin"/>
          </w:r>
          <w:r>
            <w:rPr>
              <w:bCs/>
            </w:rPr>
            <w:instrText xml:space="preserve"> HYPERLINK \l _Toc7772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_Toc23499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_Toc26949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_Toc20659 </w:instrText>
          </w:r>
          <w:r>
            <w:rPr>
              <w:bCs/>
            </w:rPr>
            <w:fldChar w:fldCharType="separate"/>
          </w:r>
          <w:r>
            <w:rPr>
              <w:rFonts w:hint="eastAsia" w:ascii="Times New Roman" w:hAnsi="Times New Roman" w:eastAsia="楷体"/>
              <w:szCs w:val="24"/>
            </w:rPr>
            <w:t>PTA：供需双增 跟随成本端波动</w:t>
          </w:r>
          <w:r>
            <w:rPr>
              <w:bCs/>
            </w:rPr>
            <w:fldChar w:fldCharType="end"/>
          </w:r>
        </w:p>
        <w:p>
          <w:pPr>
            <w:pStyle w:val="74"/>
            <w:tabs>
              <w:tab w:val="right" w:leader="dot" w:pos="8306"/>
            </w:tabs>
          </w:pPr>
          <w:r>
            <w:rPr>
              <w:bCs/>
            </w:rPr>
            <w:fldChar w:fldCharType="begin"/>
          </w:r>
          <w:r>
            <w:rPr>
              <w:bCs/>
            </w:rPr>
            <w:instrText xml:space="preserve"> HYPERLINK \l _Toc1861 </w:instrText>
          </w:r>
          <w:r>
            <w:rPr>
              <w:bCs/>
            </w:rPr>
            <w:fldChar w:fldCharType="separate"/>
          </w:r>
          <w:r>
            <w:rPr>
              <w:rFonts w:hint="eastAsia" w:ascii="Times New Roman" w:hAnsi="Times New Roman" w:eastAsia="楷体"/>
              <w:szCs w:val="24"/>
            </w:rPr>
            <w:t>乙二醇：供需格局尚可 修复低估值</w:t>
          </w:r>
          <w:r>
            <w:rPr>
              <w:bCs/>
            </w:rPr>
            <w:fldChar w:fldCharType="end"/>
          </w:r>
        </w:p>
        <w:p>
          <w:pPr>
            <w:pStyle w:val="59"/>
            <w:tabs>
              <w:tab w:val="right" w:leader="dot" w:pos="8306"/>
            </w:tabs>
          </w:pPr>
          <w:r>
            <w:rPr>
              <w:bCs/>
            </w:rPr>
            <w:fldChar w:fldCharType="begin"/>
          </w:r>
          <w:r>
            <w:rPr>
              <w:bCs/>
            </w:rPr>
            <w:instrText xml:space="preserve"> HYPERLINK \l _Toc1967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_Toc6658 </w:instrText>
          </w:r>
          <w:r>
            <w:rPr>
              <w:bCs/>
            </w:rPr>
            <w:fldChar w:fldCharType="separate"/>
          </w:r>
          <w:r>
            <w:rPr>
              <w:rFonts w:hint="eastAsia" w:ascii="楷体" w:hAnsi="楷体" w:eastAsia="楷体"/>
              <w:bCs/>
            </w:rPr>
            <w:t>玉米与淀粉：</w:t>
          </w:r>
          <w:r>
            <w:rPr>
              <w:rFonts w:hint="eastAsia" w:ascii="楷体" w:hAnsi="楷体" w:eastAsia="楷体"/>
            </w:rPr>
            <w:t>期现货延续弱势</w:t>
          </w:r>
          <w:r>
            <w:rPr>
              <w:bCs/>
            </w:rPr>
            <w:fldChar w:fldCharType="end"/>
          </w:r>
        </w:p>
        <w:p>
          <w:pPr>
            <w:pStyle w:val="74"/>
            <w:tabs>
              <w:tab w:val="right" w:leader="dot" w:pos="8306"/>
            </w:tabs>
          </w:pPr>
          <w:r>
            <w:rPr>
              <w:bCs/>
            </w:rPr>
            <w:fldChar w:fldCharType="begin"/>
          </w:r>
          <w:r>
            <w:rPr>
              <w:bCs/>
            </w:rPr>
            <w:instrText xml:space="preserve"> HYPERLINK \l _Toc26753 </w:instrText>
          </w:r>
          <w:r>
            <w:rPr>
              <w:bCs/>
            </w:rPr>
            <w:fldChar w:fldCharType="separate"/>
          </w:r>
          <w:r>
            <w:rPr>
              <w:rFonts w:hint="eastAsia" w:ascii="楷体" w:hAnsi="楷体" w:eastAsia="楷体"/>
              <w:bCs/>
            </w:rPr>
            <w:t>畜禽养殖：生猪期现背离</w:t>
          </w:r>
          <w:r>
            <w:rPr>
              <w:bCs/>
            </w:rPr>
            <w:fldChar w:fldCharType="end"/>
          </w:r>
        </w:p>
        <w:p>
          <w:pPr>
            <w:pStyle w:val="74"/>
            <w:tabs>
              <w:tab w:val="right" w:leader="dot" w:pos="8306"/>
            </w:tabs>
          </w:pPr>
          <w:r>
            <w:rPr>
              <w:bCs/>
            </w:rPr>
            <w:fldChar w:fldCharType="begin"/>
          </w:r>
          <w:r>
            <w:rPr>
              <w:bCs/>
            </w:rPr>
            <w:instrText xml:space="preserve"> HYPERLINK \l _Toc27658 </w:instrText>
          </w:r>
          <w:r>
            <w:rPr>
              <w:bCs/>
            </w:rPr>
            <w:fldChar w:fldCharType="separate"/>
          </w:r>
          <w:r>
            <w:rPr>
              <w:rFonts w:hint="eastAsia" w:ascii="楷体" w:hAnsi="楷体" w:eastAsia="楷体"/>
              <w:bCs/>
            </w:rPr>
            <w:t>白糖：巴西迎来有益降雨，内外糖价震荡整理</w:t>
          </w:r>
          <w:r>
            <w:rPr>
              <w:bCs/>
            </w:rPr>
            <w:fldChar w:fldCharType="end"/>
          </w:r>
        </w:p>
        <w:p>
          <w:pPr>
            <w:pStyle w:val="74"/>
            <w:tabs>
              <w:tab w:val="right" w:leader="dot" w:pos="8306"/>
            </w:tabs>
          </w:pPr>
          <w:r>
            <w:rPr>
              <w:bCs/>
            </w:rPr>
            <w:fldChar w:fldCharType="begin"/>
          </w:r>
          <w:r>
            <w:rPr>
              <w:bCs/>
            </w:rPr>
            <w:instrText xml:space="preserve"> HYPERLINK \l _Toc22034 </w:instrText>
          </w:r>
          <w:r>
            <w:rPr>
              <w:bCs/>
            </w:rPr>
            <w:fldChar w:fldCharType="separate"/>
          </w:r>
          <w:r>
            <w:rPr>
              <w:rFonts w:hint="eastAsia" w:ascii="楷体" w:hAnsi="楷体" w:eastAsia="楷体"/>
              <w:bCs/>
            </w:rPr>
            <w:t>棉花：套保盘试压，预计郑棉区间震荡偏弱</w:t>
          </w:r>
          <w:r>
            <w:rPr>
              <w:bCs/>
            </w:rPr>
            <w:fldChar w:fldCharType="end"/>
          </w:r>
        </w:p>
        <w:p>
          <w:pPr>
            <w:pStyle w:val="74"/>
            <w:tabs>
              <w:tab w:val="right" w:leader="dot" w:pos="8306"/>
            </w:tabs>
          </w:pPr>
          <w:r>
            <w:rPr>
              <w:bCs/>
            </w:rPr>
            <w:fldChar w:fldCharType="begin"/>
          </w:r>
          <w:r>
            <w:rPr>
              <w:bCs/>
            </w:rPr>
            <w:instrText xml:space="preserve"> HYPERLINK \l _Toc13570 </w:instrText>
          </w:r>
          <w:r>
            <w:rPr>
              <w:bCs/>
            </w:rPr>
            <w:fldChar w:fldCharType="separate"/>
          </w:r>
          <w:r>
            <w:rPr>
              <w:rFonts w:hint="eastAsia" w:ascii="楷体" w:hAnsi="楷体" w:eastAsia="楷体"/>
              <w:bCs/>
            </w:rPr>
            <w:t>蛋白粕：巴西干旱天气预计对大豆产量影响不大，期价偏弱运行</w:t>
          </w:r>
          <w:r>
            <w:rPr>
              <w:bCs/>
            </w:rPr>
            <w:fldChar w:fldCharType="end"/>
          </w:r>
        </w:p>
        <w:p>
          <w:pPr>
            <w:pStyle w:val="74"/>
            <w:tabs>
              <w:tab w:val="right" w:leader="dot" w:pos="8306"/>
            </w:tabs>
          </w:pPr>
          <w:r>
            <w:rPr>
              <w:bCs/>
            </w:rPr>
            <w:fldChar w:fldCharType="begin"/>
          </w:r>
          <w:r>
            <w:rPr>
              <w:bCs/>
            </w:rPr>
            <w:instrText xml:space="preserve"> HYPERLINK \l _Toc4165 </w:instrText>
          </w:r>
          <w:r>
            <w:rPr>
              <w:bCs/>
            </w:rPr>
            <w:fldChar w:fldCharType="separate"/>
          </w:r>
          <w:r>
            <w:rPr>
              <w:rFonts w:hint="eastAsia" w:ascii="楷体" w:hAnsi="楷体" w:eastAsia="楷体"/>
              <w:bCs/>
            </w:rPr>
            <w:t>油脂类：中东冲突升级，再次带动油脂上涨</w:t>
          </w:r>
          <w:r>
            <w:rPr>
              <w:bCs/>
            </w:rPr>
            <w:fldChar w:fldCharType="end"/>
          </w:r>
        </w:p>
        <w:p>
          <w:pPr>
            <w:pStyle w:val="59"/>
            <w:tabs>
              <w:tab w:val="right" w:leader="dot" w:pos="8306"/>
            </w:tabs>
          </w:pPr>
          <w:r>
            <w:rPr>
              <w:bCs/>
            </w:rPr>
            <w:fldChar w:fldCharType="begin"/>
          </w:r>
          <w:r>
            <w:rPr>
              <w:bCs/>
            </w:rPr>
            <w:instrText xml:space="preserve"> HYPERLINK \l _Toc26807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_Toc26976 </w:instrText>
          </w:r>
          <w:r>
            <w:rPr>
              <w:bCs/>
            </w:rPr>
            <w:fldChar w:fldCharType="separate"/>
          </w:r>
          <w:r>
            <w:rPr>
              <w:rFonts w:hint="eastAsia" w:ascii="Times New Roman" w:hAnsi="Times New Roman" w:eastAsia="楷体"/>
              <w:szCs w:val="24"/>
            </w:rPr>
            <w:t>集运指数（欧线）：运价提涨传闻扰动，期价大幅上涨</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677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988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短线多单逢高止盈待情绪平稳再行入场</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美国9月CPI全线超预期，通胀下降进程停滞，美联储降息空间预期收窄。节后国内会议暂未有增量信息，前期获利盘兑现，市场波动较大，或出现技术性调整。多单逢高止盈，不建议短线追多。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066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5549"/>
      <w:r>
        <w:rPr>
          <w:rFonts w:hint="eastAsia" w:ascii="Times New Roman" w:hAnsi="Times New Roman" w:eastAsia="楷体"/>
          <w:b/>
          <w:color w:val="000000" w:themeColor="text1"/>
          <w:sz w:val="24"/>
          <w:szCs w:val="24"/>
          <w14:textFill>
            <w14:solidFill>
              <w14:schemeClr w14:val="tx1"/>
            </w14:solidFill>
          </w14:textFill>
        </w:rPr>
        <w:t>贵金属：美国CPI超预期，贵金属价格反弹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0.84%至594.48元/克，沪银涨2.26%至7683元/千克。美国9月CPI同比增2.4%，强于预期值的2.3%，前值2.5%；核心CPI同比增3.3%，为6月以来新高，预期为3.2%；9月CPI环比增0.2%，核心CPI环比增0.3%，均超出市场预期。美联储戴利表示，支持9月50个基点的降息决定；对实现2%通胀目标的道路充满信心，已实现充分就业；在政策利率保持不变的情况下，实际利率正在上升，这可能导致过度紧缩，损害劳动力市场，所以9月的降息是一次重新校准，以使利率更适合经济发展。后续市场或围绕美国经济“软着陆”可能性进行交易，另一方面中东地区地缘政治冲突风险或提振避险情绪，贵金属价格或维持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416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808"/>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碳酸锂：盐湖企业放货，期价有所下行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期价盘初横盘震荡，尾盘有所下行，11合约收跌4.10%至73700元/吨。近期盐湖大厂放货，按期货结算价贴水结算，消息面因素对盘面略微利空。10月9日，力拓Rio Tinto宣布将以每股 5.85 美元的全现金交易收购 Arcadium Lithium，该交易已获得董事会批准，预计将于2025年中期完成，此举将使力拓成为全球第三大锂生产商。下游磷铁排产维持高位，库存维持去化，下游采购暂谨慎观望，报价及散单采购意愿偏低。旺季期间需求增长，全球资源端产销维持增量，中期供需或维持略微过剩格局，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048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铝市价格偏强震荡</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CPI数据超出预期，市场对经济衰退的恐慌预期减弱，美联储已进入降息周期，宏观情绪偏利多释放。基本面上看，国内铝土矿高度依赖几内亚进口，几内亚雨季物流发运困难，其矿产出港量或在后续两个月内有所体现，目前进口铝土矿港口库存下滑明显，可用库存约计可供给2个月生产，印尼传闻要放开铝土矿出口但预计短期内难以实现，国内矿产产量逐步减少，南北地区或因天气、环保等原因影响开产受限。进口+国产氧化铝在矿端紧张、下游需求刚性情况下现货价格持续上涨，电解铝厂内原料库存持续下滑，持续强化氧化铝价格支撑。进入四季度，电解铝产能或受枯水期影响小幅扰动，目前开产产能保持高位，铝水比例保持在70%以上，铝棒、铝锭库存节前在下游刚性备库需求下快速去库，假期后市场累库幅度为历史最小值，需求端表现为强预期、现实逐步改善，国庆假期地产消费热烈，以旧换新促进家电消费，光伏、汽车新能源板块消费表现仍有韧性，短期铝价盘整，宏观情绪拉扯反复，基本面成本强支撑，供应稳定保持高位，重点关注后续政策落地对需求刺激情况，预计整体价格依旧趋多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9614"/>
      <w:r>
        <w:rPr>
          <w:rFonts w:hint="eastAsia" w:ascii="楷体" w:hAnsi="楷体" w:eastAsia="楷体"/>
          <w:b/>
          <w:color w:val="000000" w:themeColor="text1"/>
          <w:sz w:val="24"/>
          <w:szCs w:val="24"/>
          <w14:textFill>
            <w14:solidFill>
              <w14:schemeClr w14:val="tx1"/>
            </w14:solidFill>
          </w14:textFill>
        </w:rPr>
        <w:t>锌：锌市上下有限，区间盘整</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中美两大经济体近期政策面及经济数据表现给予市场乐观预期，全球经济衰退担忧减弱，宏观依旧偏多。从基本面上看，全球锌矿产量减少，海外去年减产产能未恢复，另有部分产能因天气或不可抗力因素减产，俄罗斯Oz、国内的火烧云有增量投放但投放情况对产量补充改善有限，国内锌矿产量有所提增但进口矿补充因成本倒挂受限，国内矿供应依旧保持紧张，矿端加工利润丰厚，矿TC加工费低位，冶炼端保持亏损，叠加原料供应限制，冶炼厂开工率同比下降明显，主要减量来自陕西、安徽、云南、内蒙、广西、辽宁等地。下游需求处于弱现实、强预期的状态，假期间地产、出行等消费改善明显，持续观望利多政策落地效果。宏观情绪明显修复，基本面供应端边际收紧，需求端弱现实、强预期，多重因素影响下，锌价冲破前高后高位回调盘整，下看24000一线支撑，上看前高压力，回调盘整后续依然以多配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3143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：震荡为主</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(1)宏观：美国9月未季调CPI年率录得2.4%，为连续第六个月走低，创2021年2月以来新低，但高于市场预期的2.3%，前值2.50%；核心CPI年率录得3.3%，为6月以来新高，高于市场预期的3.2%，前值3.20%。</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(2)库存：10月10日，SHFE仓单库存52594吨，减476吨；LME仓单库存299350吨，增4525吨。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(3)精废价差：10月10日，Mysteel精废价差1767，收窄77。目前价差在合理价差1473之上。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9月通胀下降进程受阻，整体CPI和核心CPI均超预期，市场增加对美联储11月降息25个基点的预期，美元指数维持坚挺，对铜价仍有压制。此外需关注本周六国新办发布会上财政增量政策释放，市场情绪的波动将对短期价格形成影响。基本面，国内社库在节中大幅累增后，周内有所放缓，现货升水依旧承压，短期价格维持震荡，等待进一步消息指引，参考76500-78000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1222"/>
      <w:r>
        <w:rPr>
          <w:rFonts w:hint="eastAsia" w:ascii="楷体" w:hAnsi="楷体" w:eastAsia="楷体"/>
          <w:b/>
          <w:color w:val="000000" w:themeColor="text1"/>
          <w:sz w:val="24"/>
          <w:szCs w:val="24"/>
          <w14:textFill>
            <w14:solidFill>
              <w14:schemeClr w14:val="tx1"/>
            </w14:solidFill>
          </w14:textFill>
        </w:rPr>
        <w:t>镍：谨慎看待反弹空间</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对周六国务办会议仍有期待空间，美国9月CPI同比上涨2.4%，略高于市场预期。从原料来看，焦点在于矿端，目前印尼镍矿供应仍偏紧，若后续供应放宽将使得镍成本支撑下降；菲律宾镍矿主矿区则将步入雨季，存在供应减少预期。从供需来看，下游补库有限，过剩格局未有明显变化，四季度仍有新增产能等待投产。综合而言，国内政策仍有期待空间，而镍自身基本面偏弱，库存维持趋势性累库，需谨慎看待反弹空间，关注印尼镍矿供应放宽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5556"/>
      <w:r>
        <w:rPr>
          <w:rFonts w:hint="eastAsia" w:ascii="楷体" w:hAnsi="楷体" w:eastAsia="楷体"/>
          <w:b/>
          <w:color w:val="000000" w:themeColor="text1"/>
          <w:sz w:val="24"/>
          <w:szCs w:val="24"/>
          <w14:textFill>
            <w14:solidFill>
              <w14:schemeClr w14:val="tx1"/>
            </w14:solidFill>
          </w14:textFill>
        </w:rPr>
        <w:t>锡：谨慎持多</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缅甸锡矿供应问题依然存在，目前尚未有明确复产消息，关注冶炼端压力或因原料供应偏紧而增大。印尼贸易部数据显示，印尼9月精炼锡出口量为5,043.13吨，较8月的6,436.27吨下降21.6%，同比下滑13.6%。库存方面，节前锡锭社库延续去化至1万吨以下，库存压力大幅缓解。整体而言，目前锡基本面保持稳中偏强，在当前宏观利好背景下，锡价预计延续偏强状态。但需求端的宏观体现与个体感受差异或将令市场对需求端持谨慎态度，操作上，建议谨慎持多，波动参考26-27.5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9066"/>
      <w:r>
        <w:rPr>
          <w:rFonts w:hint="eastAsia" w:ascii="楷体" w:hAnsi="楷体" w:eastAsia="楷体"/>
          <w:b/>
          <w:color w:val="000000" w:themeColor="text1"/>
          <w:sz w:val="24"/>
          <w:szCs w:val="24"/>
          <w14:textFill>
            <w14:solidFill>
              <w14:schemeClr w14:val="tx1"/>
            </w14:solidFill>
          </w14:textFill>
        </w:rPr>
        <w:t>铅：供增需弱，铅价承压运行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对明日国务办会议仍有期待，持续关注政策力度及经济基本面情况。原料方面，铅精矿维持供需紧平衡状态，加工费低位持稳；废电瓶方面近期产废量有所增加，回收商收货情况好转，废电瓶价格企稳。原生铅方面，节后供应趋增，青海西豫20万吨产能即将投产，豫光金铅节后将恢复检修产线。再生铅方面，再生铅冶炼利润修复，部分炼企计划复产。需求方面，铅市需求表现仍偏弱，社库维持累库，施压铅价，新国标放宽车重限制及以旧换新政策对需求改善作用有待观察。综合而言，原生铅及再生铅供应趋增，而实际需求难见明显起色，铅价承压运行，关注下游消费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8251"/>
      <w:r>
        <w:rPr>
          <w:rFonts w:hint="eastAsia" w:ascii="楷体" w:hAnsi="楷体" w:eastAsia="楷体"/>
          <w:b/>
          <w:color w:val="000000" w:themeColor="text1"/>
          <w:sz w:val="24"/>
          <w:szCs w:val="24"/>
          <w14:textFill>
            <w14:solidFill>
              <w14:schemeClr w14:val="tx1"/>
            </w14:solidFill>
          </w14:textFill>
        </w:rPr>
        <w:t>不锈钢：镍铁价格反弹，支撑不锈钢价</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目前印尼镍矿供应仍偏紧，持续关注后续动向，菲律宾镍矿主矿区则将步入雨季，存在供应减少预期。镍铁方面，近日高镍铁成交价1010-1020元/镍，主要是在于矿端带来成本支撑，镍铁供应也趋于紧平衡。供需方面，钢厂排产略有下降但整体水平仍偏高，昨日公布的社会库存去化0.45%，仓单库存仍偏高，去库持续性有待观察。 综合而言，短期宏观情绪具有不确定性，不锈钢成本支撑上移，但仓库库存偏高及需求疲弱带来一定压力，短期期价或在13300-14300区间震荡为主，反弹动能需要看到供需改善。注意镍矿供应放宽带来利空风险。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9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仓单压力暂未完全释放，关注反套机会</w:t>
      </w:r>
      <w:bookmarkEnd w:id="27"/>
    </w:p>
    <w:p>
      <w:pPr>
        <w:ind w:left="630" w:leftChars="300"/>
        <w:rPr>
          <w:rFonts w:ascii="楷体" w:hAnsi="楷体" w:eastAsia="楷体"/>
          <w:sz w:val="24"/>
          <w:szCs w:val="24"/>
        </w:rPr>
      </w:pPr>
      <w:r>
        <w:rPr>
          <w:rFonts w:hint="eastAsia" w:ascii="楷体" w:hAnsi="楷体" w:eastAsia="楷体"/>
          <w:sz w:val="24"/>
          <w:szCs w:val="24"/>
        </w:rPr>
        <w:t>10月10日，Si2411主力合约呈震荡下行走势，收盘价9540元/吨，较上一收盘价涨跌幅-0.37%。从宏观面来看，此前国内宏观政策组合拳政策出台，使得宏观情绪大幅提振，而发改委会议对于后续政策表述较为模糊，使得宏观情绪边际有所降温，但市场对于周内财政会议仍有期待，短期宏观情绪或有一定支撑。从基本面来看，西南供应有缩减预期，传统旺季需求或有小幅增加，基本面存在边际改善预期，但宽松格局较难扭转，以及仓单压力暂未完全得到释放，盘面反弹压力仍存，主力合约参考区间（9200，10200）。策略上，维持波段操作思路，可关注反套机会（空Si2411，多Si2412）。</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16351"/>
      <w:r>
        <w:rPr>
          <w:rFonts w:hint="eastAsia" w:ascii="楷体" w:hAnsi="楷体" w:eastAsia="楷体"/>
          <w:b/>
          <w:color w:val="000000" w:themeColor="text1"/>
          <w:sz w:val="24"/>
          <w:szCs w:val="24"/>
          <w14:textFill>
            <w14:solidFill>
              <w14:schemeClr w14:val="tx1"/>
            </w14:solidFill>
          </w14:textFill>
        </w:rPr>
        <w:t>螺纹钢：财政会议即将召开，盘面或仍支撑</w:t>
      </w:r>
      <w:bookmarkEnd w:id="28"/>
    </w:p>
    <w:p>
      <w:pPr>
        <w:ind w:left="630" w:leftChars="300"/>
        <w:rPr>
          <w:rFonts w:ascii="楷体" w:hAnsi="楷体" w:eastAsia="楷体"/>
          <w:sz w:val="24"/>
          <w:szCs w:val="24"/>
        </w:rPr>
      </w:pPr>
      <w:r>
        <w:rPr>
          <w:rFonts w:hint="eastAsia" w:ascii="楷体" w:hAnsi="楷体" w:eastAsia="楷体"/>
          <w:sz w:val="24"/>
          <w:szCs w:val="24"/>
        </w:rPr>
        <w:t>从宏观面来看，此前国内宏观政策组合拳政策出台，使得宏观情绪大幅提振，而发改委会议对于后续政策表述较为模糊，使得宏观情绪边际有所降温，但市场对于周内财政会议仍有期待，短期宏观情绪或有一定支撑。从基本面来看，钢材利润大幅回升，长短流程钢厂复产，钢材供应增加，终端消费等待政策发力，使得现货价格有所松动，但基本面整体较为良好，叠加市场对于后续财政政策仍有期待，短期盘面或仍有支撑。策略上，可尝试逢低做多机会。</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1562"/>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1617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泰南地区雨天减少叠加EUDR政策延缓 胶价高位回落</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最近国内橡胶价格出现较大回落，主因近期以来外盘橡胶受EUDR政策推迟影响大跌所致，同时泰国南部主产区未来一周多地降雨减缓，供应有增量预期。短期双重利空因素浮现下，胶价高位回落。成本端，从泰国宋卡地区的最新报价来看，目前各品类胶价整体出现回落。伴随后续天气好转，原料价格支撑或有所松动。库存方面，海外橡胶进口受前期运输暂缓影响，现货市场流动性偏紧，近两周青岛港口去库幅度较大。下游需求方面，假期期间全钢轮胎检修企业数量及检修天数同比去年均明显增加，半钢轮胎检修企业数量及总减损情况同比去年有所减少。全钢轮胎企业多受困于高成本、低需求和库存压力而选择停产放假，半钢轮胎企业则得益于出口市场的强劲支撑和合理的库存水平而维持常规放假。整体看，尽管四季度橡胶基本面因供应缩量的支撑下以偏多头思路看待，但仍需关注海外橡胶期价下跌对国内盘面的影响，以及东南亚主产区短期降水问题有出现缓和迹象，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1673"/>
      <w:r>
        <w:rPr>
          <w:rFonts w:hint="eastAsia" w:ascii="Times New Roman" w:hAnsi="Times New Roman" w:eastAsia="楷体"/>
          <w:b/>
          <w:color w:val="000000" w:themeColor="text1"/>
          <w:sz w:val="24"/>
          <w:szCs w:val="24"/>
          <w14:textFill>
            <w14:solidFill>
              <w14:schemeClr w14:val="tx1"/>
            </w14:solidFill>
          </w14:textFill>
        </w:rPr>
        <w:t>聚烯烃：原油反弹，聚烯烃暂时止跌</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昨日塑料价格在成本支撑回暖后回踩至均线位置暂时止跌。成本端原油方面，以色列与伊朗局势问题仍影响显著，目前来看双方冲突暂未进一步恶化，潜在供应风险的担忧略有减弱，此外需求现状依然疲软，预计国际原油期货价格后续或仍偏弱整理。同时考虑到现实供需端的压力，主要是前期检修装置的逐步复产和部分新增产能项目的上马推进，上方反弹幅度受限。贸易商根据库存情况部分上调价格，但聚烯烃终端下游开工整体变化不大，节前补库力度不及预期。后市需持续关注宏观对聚烯烃的提振和地缘冲突的情况，短期偏震荡思路看待。</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7772"/>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23499"/>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6949"/>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20659"/>
      <w:r>
        <w:rPr>
          <w:rFonts w:hint="eastAsia" w:ascii="Times New Roman" w:hAnsi="Times New Roman" w:eastAsia="楷体"/>
          <w:b/>
          <w:color w:val="000000" w:themeColor="text1"/>
          <w:sz w:val="24"/>
          <w:szCs w:val="24"/>
          <w14:textFill>
            <w14:solidFill>
              <w14:schemeClr w14:val="tx1"/>
            </w14:solidFill>
          </w14:textFill>
        </w:rPr>
        <w:t>PTA：供需双增 跟随成本端波动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飓风米尔顿导致美国原油供应的潜在风险增强，叠加中东局势波动加剧驱动油价走强。逸盛新材料360万吨国庆假期降负后恢复，中泰120万吨停车，三房巷120万吨重启，其他个别装置负荷零星有调整，至10.10 PTA负荷上调至83.2%。长丝短纤局部负荷提升及瓶片新增产能，综合来看聚酯负荷继续回升。截至10.10，初步核算国内大陆地区聚酯负荷在92.2%附近。随着天气转冷下游开工小幅提升。旺季预期仍存下游开工提升，9月PTA累库格局放缓供需格局改善。短线聚酯产业链价格随着宏观降息改善、国内金融市场多重利好政策集中释放带动企稳反弹。9月下旬到10月这段时间服装电商开始集中下单，关注PTA阶段性供需去库行情。综合来看，在宏观情绪及成本端推动下，期价短期震荡偏强。</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1861"/>
      <w:r>
        <w:rPr>
          <w:rFonts w:hint="eastAsia" w:ascii="Times New Roman" w:hAnsi="Times New Roman" w:eastAsia="楷体"/>
          <w:b/>
          <w:color w:val="000000" w:themeColor="text1"/>
          <w:sz w:val="24"/>
          <w:szCs w:val="24"/>
          <w14:textFill>
            <w14:solidFill>
              <w14:schemeClr w14:val="tx1"/>
            </w14:solidFill>
          </w14:textFill>
        </w:rPr>
        <w:t>乙二醇：供需格局尚可 修复低估值</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供需情况，截至10.8 华东主港地区MEG港口库存约54.8万吨附近，环比上期（9.30）下降3万吨。乙二醇近期到港减少，主港显性库存去化明显，绝对库存处于历年低位水平。截至10月10日，中国大陆地区乙二醇整体开工负荷在67.84%（-0.84%），其中草酸催化加氢法（合成气）制乙二醇开工负荷在61.79%（-3.04%）。下游聚酯开工情况来看，聚酯端负荷整体保持良好，截至10.10，初步核算国内大陆地区聚酯负荷在92.2%附近，尤其是长丝负荷持续较高。聚酯端库存来看，节前最后一周下游各领域均有刚需备货需求，长丝促销效果显著，整体库存节前维持去化。终端开工情况来看，截止10.10江浙下游加弹、织造、印染负荷分别在93%、83%、86%，整体开工小幅提升，织造端坯布整体新订单和出货量较节前多有提振。综合来看，乙二醇供应回升但进口减少9月偏去库，9-10的旺季预期乙二醇自身供需尚可。根据供需平衡表测算10月紧平衡叠加低库存，受国内政策利好及成本端强势提振，乙二醇低估值有望修复，维持低多思路。</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1967"/>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665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期现货延续弱势</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表现分化，东北产区稳中有跌，华北产区继续涨跌互现，南北方港口持稳；玉米期价早盘冲高，但随后震荡走弱，全天收盘变动不大。对于玉米而言，国庆节前期价低位快速反弹，一方面是宏观经济氛围好转，另一方面是现货层面的推动，包括华北现货快速反弹，小麦现货止跌回升，而南方销区出现小幅上涨，但从国庆长假期间的现货表现来看，节前现货表现更多是阶段性的因素，华北产区可理解为旧作去库存临近尾声，且持续下跌带来惜售心理，南方销区或更多源于节前备货，其持续性均存疑，接下来市场会重新关注新作上市压力，考虑到目前期价转为升水现货，期价或再度转为弱势，在这种情况下，我们暂维持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玉米淀粉现货整体稳定，局部地区涨跌互现；淀粉期价同样冲高回落，表现继续相对弱于玉米，带动淀粉-玉米价差继续小幅收窄。对于淀粉而言，影响淀粉-玉米价差的三个方面因素发生着变化，副产品依然利多，原料端则转向偏多，因国庆长假前后华北玉米反弹，而东北玉米持续弱势，华北-东北玉米价差有望走扩；行业供需转向偏空，因行业库存开始回升，而下游开机率出现下降。在这种情况下，我们暂维持中性观点，建议单边投资者暂以观望为宜，套利投资者可以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6753"/>
      <w:r>
        <w:rPr>
          <w:rFonts w:hint="eastAsia" w:ascii="楷体" w:hAnsi="楷体" w:eastAsia="楷体"/>
          <w:b/>
          <w:bCs/>
          <w:color w:val="000000" w:themeColor="text1"/>
          <w14:textFill>
            <w14:solidFill>
              <w14:schemeClr w14:val="tx1"/>
            </w14:solidFill>
          </w14:textFill>
        </w:rPr>
        <w:t>畜禽养殖：生猪期现背离</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继续上涨，全国均价上涨0.30元至18.10元/公斤；期价则整体弱势，除远月合约外多有下跌，其中1月跌幅最大。对于生猪而言，从期价远期贴水结构可以看出，市场对生猪市场远期供需改善预期较为一致，这可以从若干方面得到印证，包括能繁母猪存栏见底回升，猪料产量环比增加，仔猪价格见顶回落等。市场分歧或更多集中在11月合约上，这主要源于两个方面，即二育规模和消费需求，8月以来生猪屠宰量增加，肥标价差回落，使得市场担心生猪供应低点对应现货价格高点已经出现。但在我们看来，从供应角度看春节前猪价下跌空间或有限，与过去两年特别是2022年相比，农业农村部公布的2季度末生猪存栏量更低，而7月规模以上屠宰企业生猪屠宰量更高，加上涌益咨询公布的7月以来日度屠宰量亦高于2022年，因此，可以合理推算四季度供应压力显著低于2022年。而8月以来特别是9月生猪出栏增加而体重下滑，带动供应提前释放，这反而有利于年前特别是四季度猪价。而需求则存在较大的不确定性，受宏观经济影响，市场反映今年需求不及往年同期，这会抑制猪价上方空间。随着国家政策的调整，加上气温的下降，生猪需求或有所改善。在这种情况下，我们持谨慎看多观点，建议谨慎投资者观望，激进投资者可以考虑持有前期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整体稳定，其中主产区均价持平在4.29元/斤，主销区均价持平在4.46元/斤；期价震荡分化，整体收盘变动不大，近月相对强于远月。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建议谨慎投资者观望，激进投资者可以考虑基于基差而轻仓做多近月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7658"/>
      <w:r>
        <w:rPr>
          <w:rFonts w:hint="eastAsia" w:ascii="楷体" w:hAnsi="楷体" w:eastAsia="楷体"/>
          <w:b/>
          <w:bCs/>
          <w:color w:val="000000" w:themeColor="text1"/>
          <w14:textFill>
            <w14:solidFill>
              <w14:schemeClr w14:val="tx1"/>
            </w14:solidFill>
          </w14:textFill>
        </w:rPr>
        <w:t>白糖：巴西迎来有益降雨，内外糖价震荡整理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微涨0.23%，伦敦白砂糖主力合约微涨0.33%。据外电10月8日消息，巴西对外贸易秘书处(Secex)公布的出口数据显示，巴西10月第一周出口糖761,441.49吨，日均出口量为190,360.37吨，较上年10月全月的日均出口量136,869.52吨增加39%。</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台风定损仍在进行中。截至10月8日，已有7个台风登陆，较往年偏多0.3个。后续预计仍将有1-2个台风继续登陆。台风带来的甘蔗折断、倒伏，浸泡，预计将影响本年度白糖产量30-50万吨。进口成本增加，旧作库存紧张，预计白糖5800—6000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22034"/>
      <w:r>
        <w:rPr>
          <w:rFonts w:hint="eastAsia" w:ascii="楷体" w:hAnsi="楷体" w:eastAsia="楷体"/>
          <w:b/>
          <w:bCs/>
          <w:color w:val="000000" w:themeColor="text1"/>
          <w14:textFill>
            <w14:solidFill>
              <w14:schemeClr w14:val="tx1"/>
            </w14:solidFill>
          </w14:textFill>
        </w:rPr>
        <w:t>棉花：套保盘试压，预计郑棉区间震荡偏弱</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隔日外盘，ICE美棉主力微涨0.50%。据天气预报，美棉收割期间整体天气状况良好，利于收割，仅飓风影响的产区内优良率以及收割进度不佳。上行动能不足，美棉偏弱震荡，关注即将到来的月度供需报告。</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新棉收购有序进行，轧花厂收购极为谨慎小心，风险偏好低，套保意愿较强。政策对实体消费的提振效果尚有待观察，近期金融市场回吐较多涨幅，籽棉收购价尾随稳中偏弱。套保资金压制下，短期内转入震荡行情或回落。</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13570"/>
      <w:r>
        <w:rPr>
          <w:rFonts w:hint="eastAsia" w:ascii="楷体" w:hAnsi="楷体" w:eastAsia="楷体"/>
          <w:b/>
          <w:bCs/>
          <w:color w:val="000000" w:themeColor="text1"/>
          <w14:textFill>
            <w14:solidFill>
              <w14:schemeClr w14:val="tx1"/>
            </w14:solidFill>
          </w14:textFill>
        </w:rPr>
        <w:t>蛋白粕：巴西干旱天气预计对大豆产量影响不大，期价偏弱运行</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下跌0.71%，豆粕下跌0.70%，菜籽上涨0.49%，菜粕下跌据1.08%。10月10日StoneX估计，由于今年发生拉尼娜气候的可能性较低，2024/25年度巴西南部和阿根廷的大豆作物面临缺雨的风险较为有限。因此，StoneX维持2024/25年度巴西大豆产量将达到创纪录高的1.65亿吨的预测不变。据Mysteel调研显示，截至10月8日，沿海地区主要油厂菜籽库存43.8万吨，环比上周减少7.20万吨；菜粕库存5.99万吨，环比上周增加1.93万吨。菜粕库存仍在累积，节后备货情绪一般，刚性补库为主。目前国内粕类无明显驱动，主要跟随外盘及油料变动。</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4165"/>
      <w:r>
        <w:rPr>
          <w:rFonts w:hint="eastAsia" w:ascii="楷体" w:hAnsi="楷体" w:eastAsia="楷体"/>
          <w:b/>
          <w:bCs/>
          <w:color w:val="000000" w:themeColor="text1"/>
          <w14:textFill>
            <w14:solidFill>
              <w14:schemeClr w14:val="tx1"/>
            </w14:solidFill>
          </w14:textFill>
        </w:rPr>
        <w:t>油脂类：中东冲突升级，再次带动油脂上涨</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0.83%，菜油上涨0.45%，棕榈油上涨1.31%。MPOB周四公布的报告显示，马来西亚9月底棕榈油库存为201万吨，较8月底增加6.93%，为1月底以来最高水平。马来西亚9月毛棕榈油产量为182万吨，较8月减少3.8%。9月棕榈油出口为154万吨，较8月增加0.93%。由于库存累积超预期，报告温和偏空。10月10日巴克莱表示，以色列对伊朗石油上游或出口基础设施的潜在攻击，可能会给石油市场带来双重结果，因为它可能会减少对油价的闲置产能过剩，但同时也会引发显著的地缘政治风险溢价，这是近期石油市场波动加剧的原因。受此影响，油脂价格上涨。国内油脂市场，市场对于未来菜油供给担忧，菜油提货量较大，库存消耗，菜油表现较坚挺。冬季消费旺季，国内油脂库存未来趋降，短期国内油脂或表现为震荡偏强。</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6807"/>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26976"/>
      <w:r>
        <w:rPr>
          <w:rFonts w:hint="eastAsia" w:ascii="Times New Roman" w:hAnsi="Times New Roman" w:eastAsia="楷体"/>
          <w:b/>
          <w:color w:val="000000" w:themeColor="text1"/>
          <w:sz w:val="24"/>
          <w:szCs w:val="24"/>
          <w14:textFill>
            <w14:solidFill>
              <w14:schemeClr w14:val="tx1"/>
            </w14:solidFill>
          </w14:textFill>
        </w:rPr>
        <w:t>集运指数（欧线）：运价提涨传闻扰动，期价大幅上涨</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12合约收涨16%至2191.1，或因近期市场传闻部分船司将上调运价，消息未经证实。马士基、赫伯罗特确定2025年继续绕行南非好望角，提示航司预计红海局势后续或维持紧张。CMA CGM 10月15日起下调欧线旺季附加费至250/500。10月7日，SCFIS欧线指数为2662.75点，相较上期跌15.86%。本周剩余现舱40GP均价约3270美元，下周个别如Maersk441W航次AES航线线上报出约2620美元的低价。短期消息面因素扰动，留意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9667"/>
      <w:bookmarkStart w:id="48" w:name="_Toc72481108"/>
      <w:bookmarkStart w:id="49" w:name="_Toc71212556"/>
      <w:bookmarkStart w:id="50" w:name="_Toc98426751"/>
      <w:bookmarkStart w:id="51" w:name="_Toc12779"/>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2024年10月11日星期五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2024-10-11T02:09:21Z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