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2" w:name="_GoBack"/>
          <w:bookmarkEnd w:id="52"/>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_Toc30825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_Toc3566 </w:instrText>
          </w:r>
          <w:r>
            <w:rPr>
              <w:bCs/>
            </w:rPr>
            <w:fldChar w:fldCharType="separate"/>
          </w:r>
          <w:r>
            <w:rPr>
              <w:rFonts w:hint="eastAsia" w:ascii="Times New Roman" w:hAnsi="Times New Roman" w:eastAsia="楷体"/>
              <w:szCs w:val="24"/>
            </w:rPr>
            <w:t>股指：短线多单逢高止盈待情绪平稳再行入场</w:t>
          </w:r>
          <w:r>
            <w:rPr>
              <w:bCs/>
            </w:rPr>
            <w:fldChar w:fldCharType="end"/>
          </w:r>
        </w:p>
        <w:p>
          <w:pPr>
            <w:pStyle w:val="59"/>
            <w:tabs>
              <w:tab w:val="right" w:leader="dot" w:pos="8306"/>
            </w:tabs>
          </w:pPr>
          <w:r>
            <w:rPr>
              <w:bCs/>
            </w:rPr>
            <w:fldChar w:fldCharType="begin"/>
          </w:r>
          <w:r>
            <w:rPr>
              <w:bCs/>
            </w:rPr>
            <w:instrText xml:space="preserve"> HYPERLINK \l _Toc22837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_Toc22603 </w:instrText>
          </w:r>
          <w:r>
            <w:rPr>
              <w:bCs/>
            </w:rPr>
            <w:fldChar w:fldCharType="separate"/>
          </w:r>
          <w:r>
            <w:rPr>
              <w:rFonts w:hint="eastAsia" w:ascii="Times New Roman" w:hAnsi="Times New Roman" w:eastAsia="楷体"/>
              <w:szCs w:val="24"/>
            </w:rPr>
            <w:t>贵金属：美元指数持平，贵金属价格下跌</w:t>
          </w:r>
          <w:r>
            <w:rPr>
              <w:bCs/>
            </w:rPr>
            <w:fldChar w:fldCharType="end"/>
          </w:r>
        </w:p>
        <w:p>
          <w:pPr>
            <w:pStyle w:val="59"/>
            <w:tabs>
              <w:tab w:val="right" w:leader="dot" w:pos="8306"/>
            </w:tabs>
          </w:pPr>
          <w:r>
            <w:rPr>
              <w:bCs/>
            </w:rPr>
            <w:fldChar w:fldCharType="begin"/>
          </w:r>
          <w:r>
            <w:rPr>
              <w:bCs/>
            </w:rPr>
            <w:instrText xml:space="preserve"> HYPERLINK \l _Toc27378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_Toc11058 </w:instrText>
          </w:r>
          <w:r>
            <w:rPr>
              <w:bCs/>
            </w:rPr>
            <w:fldChar w:fldCharType="separate"/>
          </w:r>
          <w:r>
            <w:rPr>
              <w:rFonts w:hint="eastAsia" w:ascii="楷体" w:hAnsi="楷体" w:eastAsia="楷体"/>
              <w:szCs w:val="24"/>
            </w:rPr>
            <w:t>碳酸锂：力拓拟收购Arcadium，主力期价下跌</w:t>
          </w:r>
          <w:r>
            <w:rPr>
              <w:bCs/>
            </w:rPr>
            <w:fldChar w:fldCharType="end"/>
          </w:r>
        </w:p>
        <w:p>
          <w:pPr>
            <w:pStyle w:val="74"/>
            <w:tabs>
              <w:tab w:val="right" w:leader="dot" w:pos="8306"/>
            </w:tabs>
          </w:pPr>
          <w:r>
            <w:rPr>
              <w:bCs/>
            </w:rPr>
            <w:fldChar w:fldCharType="begin"/>
          </w:r>
          <w:r>
            <w:rPr>
              <w:bCs/>
            </w:rPr>
            <w:instrText xml:space="preserve"> HYPERLINK \l _Toc18951 </w:instrText>
          </w:r>
          <w:r>
            <w:rPr>
              <w:bCs/>
            </w:rPr>
            <w:fldChar w:fldCharType="separate"/>
          </w:r>
          <w:r>
            <w:rPr>
              <w:rFonts w:hint="eastAsia" w:ascii="楷体" w:hAnsi="楷体" w:eastAsia="楷体"/>
              <w:szCs w:val="24"/>
            </w:rPr>
            <w:t>铝：铝价震荡盘整，偏多趋势未改</w:t>
          </w:r>
          <w:r>
            <w:rPr>
              <w:bCs/>
            </w:rPr>
            <w:fldChar w:fldCharType="end"/>
          </w:r>
        </w:p>
        <w:p>
          <w:pPr>
            <w:pStyle w:val="74"/>
            <w:tabs>
              <w:tab w:val="right" w:leader="dot" w:pos="8306"/>
            </w:tabs>
          </w:pPr>
          <w:r>
            <w:rPr>
              <w:bCs/>
            </w:rPr>
            <w:fldChar w:fldCharType="begin"/>
          </w:r>
          <w:r>
            <w:rPr>
              <w:bCs/>
            </w:rPr>
            <w:instrText xml:space="preserve"> HYPERLINK \l _Toc13885 </w:instrText>
          </w:r>
          <w:r>
            <w:rPr>
              <w:bCs/>
            </w:rPr>
            <w:fldChar w:fldCharType="separate"/>
          </w:r>
          <w:r>
            <w:rPr>
              <w:rFonts w:hint="eastAsia" w:ascii="楷体" w:hAnsi="楷体" w:eastAsia="楷体"/>
              <w:szCs w:val="24"/>
            </w:rPr>
            <w:t>锌：锌市现实需求表现限制上方空间</w:t>
          </w:r>
          <w:r>
            <w:rPr>
              <w:bCs/>
            </w:rPr>
            <w:fldChar w:fldCharType="end"/>
          </w:r>
        </w:p>
        <w:p>
          <w:pPr>
            <w:pStyle w:val="74"/>
            <w:tabs>
              <w:tab w:val="right" w:leader="dot" w:pos="8306"/>
            </w:tabs>
          </w:pPr>
          <w:r>
            <w:rPr>
              <w:bCs/>
            </w:rPr>
            <w:fldChar w:fldCharType="begin"/>
          </w:r>
          <w:r>
            <w:rPr>
              <w:bCs/>
            </w:rPr>
            <w:instrText xml:space="preserve"> HYPERLINK \l _Toc8487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：短期高位调整，预计空间不大</w:t>
          </w:r>
          <w:r>
            <w:rPr>
              <w:bCs/>
            </w:rPr>
            <w:fldChar w:fldCharType="end"/>
          </w:r>
        </w:p>
        <w:p>
          <w:pPr>
            <w:pStyle w:val="74"/>
            <w:tabs>
              <w:tab w:val="right" w:leader="dot" w:pos="8306"/>
            </w:tabs>
          </w:pPr>
          <w:r>
            <w:rPr>
              <w:bCs/>
            </w:rPr>
            <w:fldChar w:fldCharType="begin"/>
          </w:r>
          <w:r>
            <w:rPr>
              <w:bCs/>
            </w:rPr>
            <w:instrText xml:space="preserve"> HYPERLINK \l _Toc29878 </w:instrText>
          </w:r>
          <w:r>
            <w:rPr>
              <w:bCs/>
            </w:rPr>
            <w:fldChar w:fldCharType="separate"/>
          </w:r>
          <w:r>
            <w:rPr>
              <w:rFonts w:hint="eastAsia" w:ascii="楷体" w:hAnsi="楷体" w:eastAsia="楷体"/>
              <w:szCs w:val="24"/>
            </w:rPr>
            <w:t>镍：谨慎看待反弹空间</w:t>
          </w:r>
          <w:r>
            <w:rPr>
              <w:bCs/>
            </w:rPr>
            <w:fldChar w:fldCharType="end"/>
          </w:r>
        </w:p>
        <w:p>
          <w:pPr>
            <w:pStyle w:val="74"/>
            <w:tabs>
              <w:tab w:val="right" w:leader="dot" w:pos="8306"/>
            </w:tabs>
          </w:pPr>
          <w:r>
            <w:rPr>
              <w:bCs/>
            </w:rPr>
            <w:fldChar w:fldCharType="begin"/>
          </w:r>
          <w:r>
            <w:rPr>
              <w:bCs/>
            </w:rPr>
            <w:instrText xml:space="preserve"> HYPERLINK \l _Toc5205 </w:instrText>
          </w:r>
          <w:r>
            <w:rPr>
              <w:bCs/>
            </w:rPr>
            <w:fldChar w:fldCharType="separate"/>
          </w:r>
          <w:r>
            <w:rPr>
              <w:rFonts w:hint="eastAsia" w:ascii="楷体" w:hAnsi="楷体" w:eastAsia="楷体"/>
              <w:szCs w:val="24"/>
            </w:rPr>
            <w:t>锡：谨慎持多</w:t>
          </w:r>
          <w:r>
            <w:rPr>
              <w:bCs/>
            </w:rPr>
            <w:fldChar w:fldCharType="end"/>
          </w:r>
        </w:p>
        <w:p>
          <w:pPr>
            <w:pStyle w:val="74"/>
            <w:tabs>
              <w:tab w:val="right" w:leader="dot" w:pos="8306"/>
            </w:tabs>
          </w:pPr>
          <w:r>
            <w:rPr>
              <w:bCs/>
            </w:rPr>
            <w:fldChar w:fldCharType="begin"/>
          </w:r>
          <w:r>
            <w:rPr>
              <w:bCs/>
            </w:rPr>
            <w:instrText xml:space="preserve"> HYPERLINK \l _Toc8453 </w:instrText>
          </w:r>
          <w:r>
            <w:rPr>
              <w:bCs/>
            </w:rPr>
            <w:fldChar w:fldCharType="separate"/>
          </w:r>
          <w:r>
            <w:rPr>
              <w:rFonts w:hint="eastAsia" w:ascii="楷体" w:hAnsi="楷体" w:eastAsia="楷体"/>
              <w:szCs w:val="24"/>
            </w:rPr>
            <w:t>铅：供增需弱，铅价承压运行</w:t>
          </w:r>
          <w:r>
            <w:rPr>
              <w:bCs/>
            </w:rPr>
            <w:fldChar w:fldCharType="end"/>
          </w:r>
        </w:p>
        <w:p>
          <w:pPr>
            <w:pStyle w:val="74"/>
            <w:tabs>
              <w:tab w:val="right" w:leader="dot" w:pos="8306"/>
            </w:tabs>
          </w:pPr>
          <w:r>
            <w:rPr>
              <w:bCs/>
            </w:rPr>
            <w:fldChar w:fldCharType="begin"/>
          </w:r>
          <w:r>
            <w:rPr>
              <w:bCs/>
            </w:rPr>
            <w:instrText xml:space="preserve"> HYPERLINK \l _Toc18687 </w:instrText>
          </w:r>
          <w:r>
            <w:rPr>
              <w:bCs/>
            </w:rPr>
            <w:fldChar w:fldCharType="separate"/>
          </w:r>
          <w:r>
            <w:rPr>
              <w:rFonts w:hint="eastAsia" w:ascii="楷体" w:hAnsi="楷体" w:eastAsia="楷体"/>
              <w:szCs w:val="24"/>
            </w:rPr>
            <w:t>不锈钢：宏观氛围有所降温，暂观望为宜</w:t>
          </w:r>
          <w:r>
            <w:rPr>
              <w:bCs/>
            </w:rPr>
            <w:fldChar w:fldCharType="end"/>
          </w:r>
        </w:p>
        <w:p>
          <w:pPr>
            <w:pStyle w:val="74"/>
            <w:tabs>
              <w:tab w:val="right" w:leader="dot" w:pos="8306"/>
            </w:tabs>
          </w:pPr>
          <w:r>
            <w:rPr>
              <w:bCs/>
            </w:rPr>
            <w:fldChar w:fldCharType="begin"/>
          </w:r>
          <w:r>
            <w:rPr>
              <w:bCs/>
            </w:rPr>
            <w:instrText xml:space="preserve"> HYPERLINK \l _Toc29920 </w:instrText>
          </w:r>
          <w:r>
            <w:rPr>
              <w:bCs/>
            </w:rPr>
            <w:fldChar w:fldCharType="separate"/>
          </w:r>
          <w:r>
            <w:rPr>
              <w:rFonts w:hint="eastAsia" w:ascii="楷体" w:hAnsi="楷体" w:eastAsia="楷体"/>
              <w:szCs w:val="24"/>
            </w:rPr>
            <w:t>工业硅：宏观情绪边际降温，盘面延续下行</w:t>
          </w:r>
          <w:r>
            <w:rPr>
              <w:bCs/>
            </w:rPr>
            <w:fldChar w:fldCharType="end"/>
          </w:r>
        </w:p>
        <w:p>
          <w:pPr>
            <w:pStyle w:val="74"/>
            <w:tabs>
              <w:tab w:val="right" w:leader="dot" w:pos="8306"/>
            </w:tabs>
          </w:pPr>
          <w:r>
            <w:rPr>
              <w:bCs/>
            </w:rPr>
            <w:fldChar w:fldCharType="begin"/>
          </w:r>
          <w:r>
            <w:rPr>
              <w:bCs/>
            </w:rPr>
            <w:instrText xml:space="preserve"> HYPERLINK \l _Toc7165 </w:instrText>
          </w:r>
          <w:r>
            <w:rPr>
              <w:bCs/>
            </w:rPr>
            <w:fldChar w:fldCharType="separate"/>
          </w:r>
          <w:r>
            <w:rPr>
              <w:rFonts w:hint="eastAsia" w:ascii="楷体" w:hAnsi="楷体" w:eastAsia="楷体"/>
              <w:szCs w:val="24"/>
            </w:rPr>
            <w:t>螺纹钢：基本面较为良好，盘面或仍支撑</w:t>
          </w:r>
          <w:r>
            <w:rPr>
              <w:bCs/>
            </w:rPr>
            <w:fldChar w:fldCharType="end"/>
          </w:r>
        </w:p>
        <w:p>
          <w:pPr>
            <w:pStyle w:val="59"/>
            <w:tabs>
              <w:tab w:val="right" w:leader="dot" w:pos="8306"/>
            </w:tabs>
          </w:pPr>
          <w:r>
            <w:rPr>
              <w:bCs/>
            </w:rPr>
            <w:fldChar w:fldCharType="begin"/>
          </w:r>
          <w:r>
            <w:rPr>
              <w:bCs/>
            </w:rPr>
            <w:instrText xml:space="preserve"> HYPERLINK \l _Toc9172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_Toc23670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泰南地区雨天减少EUDR政策延缓 胶价高位回落</w:t>
          </w:r>
          <w:r>
            <w:rPr>
              <w:bCs/>
            </w:rPr>
            <w:fldChar w:fldCharType="end"/>
          </w:r>
        </w:p>
        <w:p>
          <w:pPr>
            <w:pStyle w:val="74"/>
            <w:tabs>
              <w:tab w:val="right" w:leader="dot" w:pos="8306"/>
            </w:tabs>
          </w:pPr>
          <w:r>
            <w:rPr>
              <w:bCs/>
            </w:rPr>
            <w:fldChar w:fldCharType="begin"/>
          </w:r>
          <w:r>
            <w:rPr>
              <w:bCs/>
            </w:rPr>
            <w:instrText xml:space="preserve"> HYPERLINK \l _Toc11023 </w:instrText>
          </w:r>
          <w:r>
            <w:rPr>
              <w:bCs/>
            </w:rPr>
            <w:fldChar w:fldCharType="separate"/>
          </w:r>
          <w:r>
            <w:rPr>
              <w:rFonts w:hint="eastAsia" w:ascii="Times New Roman" w:hAnsi="Times New Roman" w:eastAsia="楷体"/>
              <w:szCs w:val="24"/>
            </w:rPr>
            <w:t>聚烯烃：成本端和宏观提振减弱，聚烯烃延续回落</w:t>
          </w:r>
          <w:r>
            <w:rPr>
              <w:bCs/>
            </w:rPr>
            <w:fldChar w:fldCharType="end"/>
          </w:r>
        </w:p>
        <w:p>
          <w:pPr>
            <w:pStyle w:val="74"/>
            <w:tabs>
              <w:tab w:val="right" w:leader="dot" w:pos="8306"/>
            </w:tabs>
          </w:pPr>
          <w:r>
            <w:rPr>
              <w:bCs/>
            </w:rPr>
            <w:fldChar w:fldCharType="begin"/>
          </w:r>
          <w:r>
            <w:rPr>
              <w:bCs/>
            </w:rPr>
            <w:instrText xml:space="preserve"> HYPERLINK \l _Toc23285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_Toc10399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_Toc22077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_Toc15743 </w:instrText>
          </w:r>
          <w:r>
            <w:rPr>
              <w:bCs/>
            </w:rPr>
            <w:fldChar w:fldCharType="separate"/>
          </w:r>
          <w:r>
            <w:rPr>
              <w:rFonts w:hint="eastAsia" w:ascii="Times New Roman" w:hAnsi="Times New Roman" w:eastAsia="楷体"/>
              <w:szCs w:val="24"/>
            </w:rPr>
            <w:t>PTA：供需矛盾不突出 跟随成本端波动</w:t>
          </w:r>
          <w:r>
            <w:rPr>
              <w:bCs/>
            </w:rPr>
            <w:fldChar w:fldCharType="end"/>
          </w:r>
        </w:p>
        <w:p>
          <w:pPr>
            <w:pStyle w:val="74"/>
            <w:tabs>
              <w:tab w:val="right" w:leader="dot" w:pos="8306"/>
            </w:tabs>
          </w:pPr>
          <w:r>
            <w:rPr>
              <w:bCs/>
            </w:rPr>
            <w:fldChar w:fldCharType="begin"/>
          </w:r>
          <w:r>
            <w:rPr>
              <w:bCs/>
            </w:rPr>
            <w:instrText xml:space="preserve"> HYPERLINK \l _Toc23448 </w:instrText>
          </w:r>
          <w:r>
            <w:rPr>
              <w:bCs/>
            </w:rPr>
            <w:fldChar w:fldCharType="separate"/>
          </w:r>
          <w:r>
            <w:rPr>
              <w:rFonts w:hint="eastAsia" w:ascii="Times New Roman" w:hAnsi="Times New Roman" w:eastAsia="楷体"/>
              <w:szCs w:val="24"/>
            </w:rPr>
            <w:t>乙二醇：供需格局尚可 修复低估值</w:t>
          </w:r>
          <w:r>
            <w:rPr>
              <w:bCs/>
            </w:rPr>
            <w:fldChar w:fldCharType="end"/>
          </w:r>
        </w:p>
        <w:p>
          <w:pPr>
            <w:pStyle w:val="59"/>
            <w:tabs>
              <w:tab w:val="right" w:leader="dot" w:pos="8306"/>
            </w:tabs>
          </w:pPr>
          <w:r>
            <w:rPr>
              <w:bCs/>
            </w:rPr>
            <w:fldChar w:fldCharType="begin"/>
          </w:r>
          <w:r>
            <w:rPr>
              <w:bCs/>
            </w:rPr>
            <w:instrText xml:space="preserve"> HYPERLINK \l _Toc22819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_Toc7856 </w:instrText>
          </w:r>
          <w:r>
            <w:rPr>
              <w:bCs/>
            </w:rPr>
            <w:fldChar w:fldCharType="separate"/>
          </w:r>
          <w:r>
            <w:rPr>
              <w:rFonts w:hint="eastAsia" w:ascii="楷体" w:hAnsi="楷体" w:eastAsia="楷体"/>
              <w:bCs/>
            </w:rPr>
            <w:t>玉米与淀粉：</w:t>
          </w:r>
          <w:r>
            <w:rPr>
              <w:rFonts w:hint="eastAsia" w:ascii="楷体" w:hAnsi="楷体" w:eastAsia="楷体"/>
            </w:rPr>
            <w:t>期价震荡偏弱</w:t>
          </w:r>
          <w:r>
            <w:rPr>
              <w:bCs/>
            </w:rPr>
            <w:fldChar w:fldCharType="end"/>
          </w:r>
        </w:p>
        <w:p>
          <w:pPr>
            <w:pStyle w:val="74"/>
            <w:tabs>
              <w:tab w:val="right" w:leader="dot" w:pos="8306"/>
            </w:tabs>
          </w:pPr>
          <w:r>
            <w:rPr>
              <w:bCs/>
            </w:rPr>
            <w:fldChar w:fldCharType="begin"/>
          </w:r>
          <w:r>
            <w:rPr>
              <w:bCs/>
            </w:rPr>
            <w:instrText xml:space="preserve"> HYPERLINK \l _Toc621 </w:instrText>
          </w:r>
          <w:r>
            <w:rPr>
              <w:bCs/>
            </w:rPr>
            <w:fldChar w:fldCharType="separate"/>
          </w:r>
          <w:r>
            <w:rPr>
              <w:rFonts w:hint="eastAsia" w:ascii="楷体" w:hAnsi="楷体" w:eastAsia="楷体"/>
              <w:bCs/>
            </w:rPr>
            <w:t>畜禽养殖：生猪近月期价大幅反弹</w:t>
          </w:r>
          <w:r>
            <w:rPr>
              <w:bCs/>
            </w:rPr>
            <w:fldChar w:fldCharType="end"/>
          </w:r>
        </w:p>
        <w:p>
          <w:pPr>
            <w:pStyle w:val="74"/>
            <w:tabs>
              <w:tab w:val="right" w:leader="dot" w:pos="8306"/>
            </w:tabs>
          </w:pPr>
          <w:r>
            <w:rPr>
              <w:bCs/>
            </w:rPr>
            <w:fldChar w:fldCharType="begin"/>
          </w:r>
          <w:r>
            <w:rPr>
              <w:bCs/>
            </w:rPr>
            <w:instrText xml:space="preserve"> HYPERLINK \l _Toc11581 </w:instrText>
          </w:r>
          <w:r>
            <w:rPr>
              <w:bCs/>
            </w:rPr>
            <w:fldChar w:fldCharType="separate"/>
          </w:r>
          <w:r>
            <w:rPr>
              <w:rFonts w:hint="eastAsia" w:ascii="楷体" w:hAnsi="楷体" w:eastAsia="楷体"/>
              <w:bCs/>
            </w:rPr>
            <w:t>白糖：巴西迎来有益降雨，国际糖价回落</w:t>
          </w:r>
          <w:r>
            <w:rPr>
              <w:bCs/>
            </w:rPr>
            <w:fldChar w:fldCharType="end"/>
          </w:r>
        </w:p>
        <w:p>
          <w:pPr>
            <w:pStyle w:val="74"/>
            <w:tabs>
              <w:tab w:val="right" w:leader="dot" w:pos="8306"/>
            </w:tabs>
          </w:pPr>
          <w:r>
            <w:rPr>
              <w:bCs/>
            </w:rPr>
            <w:fldChar w:fldCharType="begin"/>
          </w:r>
          <w:r>
            <w:rPr>
              <w:bCs/>
            </w:rPr>
            <w:instrText xml:space="preserve"> HYPERLINK \l _Toc4391 </w:instrText>
          </w:r>
          <w:r>
            <w:rPr>
              <w:bCs/>
            </w:rPr>
            <w:fldChar w:fldCharType="separate"/>
          </w:r>
          <w:r>
            <w:rPr>
              <w:rFonts w:hint="eastAsia" w:ascii="楷体" w:hAnsi="楷体" w:eastAsia="楷体"/>
              <w:bCs/>
            </w:rPr>
            <w:t>棉花：套保盘试压，预计郑棉区间震荡</w:t>
          </w:r>
          <w:r>
            <w:rPr>
              <w:bCs/>
            </w:rPr>
            <w:fldChar w:fldCharType="end"/>
          </w:r>
        </w:p>
        <w:p>
          <w:pPr>
            <w:pStyle w:val="74"/>
            <w:tabs>
              <w:tab w:val="right" w:leader="dot" w:pos="8306"/>
            </w:tabs>
          </w:pPr>
          <w:r>
            <w:rPr>
              <w:bCs/>
            </w:rPr>
            <w:fldChar w:fldCharType="begin"/>
          </w:r>
          <w:r>
            <w:rPr>
              <w:bCs/>
            </w:rPr>
            <w:instrText xml:space="preserve"> HYPERLINK \l _Toc17672 </w:instrText>
          </w:r>
          <w:r>
            <w:rPr>
              <w:bCs/>
            </w:rPr>
            <w:fldChar w:fldCharType="separate"/>
          </w:r>
          <w:r>
            <w:rPr>
              <w:rFonts w:hint="eastAsia" w:ascii="楷体" w:hAnsi="楷体" w:eastAsia="楷体"/>
              <w:bCs/>
            </w:rPr>
            <w:t>蛋白粕：巴西天气好转，带动粕类走低</w:t>
          </w:r>
          <w:r>
            <w:rPr>
              <w:bCs/>
            </w:rPr>
            <w:fldChar w:fldCharType="end"/>
          </w:r>
        </w:p>
        <w:p>
          <w:pPr>
            <w:pStyle w:val="74"/>
            <w:tabs>
              <w:tab w:val="right" w:leader="dot" w:pos="8306"/>
            </w:tabs>
          </w:pPr>
          <w:r>
            <w:rPr>
              <w:bCs/>
            </w:rPr>
            <w:fldChar w:fldCharType="begin"/>
          </w:r>
          <w:r>
            <w:rPr>
              <w:bCs/>
            </w:rPr>
            <w:instrText xml:space="preserve"> HYPERLINK \l _Toc9339 </w:instrText>
          </w:r>
          <w:r>
            <w:rPr>
              <w:bCs/>
            </w:rPr>
            <w:fldChar w:fldCharType="separate"/>
          </w:r>
          <w:r>
            <w:rPr>
              <w:rFonts w:hint="eastAsia" w:ascii="楷体" w:hAnsi="楷体" w:eastAsia="楷体"/>
              <w:bCs/>
            </w:rPr>
            <w:t>油脂类：区间震荡调整</w:t>
          </w:r>
          <w:r>
            <w:rPr>
              <w:bCs/>
            </w:rPr>
            <w:fldChar w:fldCharType="end"/>
          </w:r>
        </w:p>
        <w:p>
          <w:pPr>
            <w:pStyle w:val="59"/>
            <w:tabs>
              <w:tab w:val="right" w:leader="dot" w:pos="8306"/>
            </w:tabs>
          </w:pPr>
          <w:r>
            <w:rPr>
              <w:bCs/>
            </w:rPr>
            <w:fldChar w:fldCharType="begin"/>
          </w:r>
          <w:r>
            <w:rPr>
              <w:bCs/>
            </w:rPr>
            <w:instrText xml:space="preserve"> HYPERLINK \l _Toc1806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_Toc17921 </w:instrText>
          </w:r>
          <w:r>
            <w:rPr>
              <w:bCs/>
            </w:rPr>
            <w:fldChar w:fldCharType="separate"/>
          </w:r>
          <w:r>
            <w:rPr>
              <w:rFonts w:hint="eastAsia" w:ascii="Times New Roman" w:hAnsi="Times New Roman" w:eastAsia="楷体"/>
              <w:szCs w:val="24"/>
            </w:rPr>
            <w:t>集运指数（欧线）：现货运价下行，期价承压</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30825"/>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3566"/>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短线多单逢高止盈待情绪平稳再行入场</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政策信号的超预期释放解放了压抑已久的投资者，但从当前指数上涨幅度来看，前期布局资金阶段性兑现盈利，使得盘面随时可能迎来技术性回调。因此，对短线投资者来说，要保持客观审慎，倾向于以动量视角把握短期行情，多单可先逢高止盈，待市场回归理性后再行入场。后续想要有持续性的长牛慢牛，基本面的支撑和财政政策的支撑是关键；而其中，财政政策的力度、方向尤为重要。后续需要关注基本面高频数据验证此轮牛市的质量和持续性。</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2837"/>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2603"/>
      <w:r>
        <w:rPr>
          <w:rFonts w:hint="eastAsia" w:ascii="Times New Roman" w:hAnsi="Times New Roman" w:eastAsia="楷体"/>
          <w:b/>
          <w:color w:val="000000" w:themeColor="text1"/>
          <w:sz w:val="24"/>
          <w:szCs w:val="24"/>
          <w14:textFill>
            <w14:solidFill>
              <w14:schemeClr w14:val="tx1"/>
            </w14:solidFill>
          </w14:textFill>
        </w:rPr>
        <w:t>贵金属：美元指数持平，贵金属价格下跌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持平于约102.87，沪金跌0.31%至589.66元/克，沪银跌0.48%至7520元/千克。美联储9月会议纪要显示，绝大多数成员支持将利率下调50个基点；部分与会者指出，在7月份的会议上，有合理的理由进行25个基点的降息；部分与会者表示，他们更倾向于在九月份的会议上降息25个基点。美联储柯林斯表示，未来可能需要进一步降息，未来的行动将以数据为依据；九月份的美联储预测显示，预计年底前将降息50个基点。CME美联储观察模型显示，美联储到11月降息25个基点的概率为86.7%，维持当前利率不变的概率为13.3%；直至12月累计降息50个基点的概率为78.1%，累计降息75个基点的概率为10.1%。美国9月ISM制造业PMI维持收缩，9月新增非农就业人数高于此前预期、失业率下降，受此影响海外降息预期降温。截至2024年9月末，我国央行黄金储备仍维持在7280万盎司，已连续5个月未增持。后续市场或围绕美国经济“软着陆”可能性进行交易，另一方面中东地区地缘政治冲突风险或提振避险情绪，贵金属价格或维持区间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27378"/>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1058"/>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碳酸锂：力拓拟收购Arcadium，主力期价下跌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低开后横盘运行，11合约收跌5.27%至76400元/吨。下游磷铁排产维持高位，库存维持去化，下游采购暂谨慎观望，报价及散单采购意愿偏低。9月智利出口锂盐共计18243吨，其中向我国出口锂盐16601吨，同比增82.4%，环比增36.7%，国内矿石提锂产能收缩，但进口端预计后续仍将贡献增量；出口均价为7378美元/吨，环比减少10.4%。10月9日，力拓Rio Tinto宣布将以每股 5.85 美元的全现金交易收购 Arcadium Lithium，该交易已获得董事会批准，预计将于2025年中期完成，此举将使力拓成为全球第三大锂生产商。旺季期间需求增长，全球资源端产销维持增量，中期供需或维持略微过剩格局，期价或区间震荡。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18951"/>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铝价震荡盘整，偏多趋势未改</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节后第一天国内资本市场表现欠佳，美联储回收降息幅度，资金交投热度降减。从基本面上看，国内铝土矿高度依赖几内亚进口，几内亚雨季物流发运困难，其矿产出港量或在后续两个月内有所体现，目前进口铝土矿港口库存下滑明显，可用库存约计可供给2个月生产，印尼传闻要放开铝土矿出口但预计短期内难以实现，国内矿产产量逐步减少，南北地区或因天气、环保等原因影响开产受限。进口+国产氧化铝在矿端紧张、下游需求刚性情况下现货价格持续上涨，电解铝厂内原料库存持续下滑，持续强化氧化铝价格支撑。进入四季度，电解铝产能或受枯水期影响小幅扰动，目前开产产能保持高位，铝水比例保持在70%以上，铝棒、铝锭库存节前在下游刚性备库需求下快速去库，假期后市场累库幅度为历史最小值，需求端表现为强预期、现实逐步改善，国庆假期地产消费热烈，以旧换新促进家电消费，光伏、汽车新能源板块消费表现仍有韧性，短期铝价盘整，宏观情绪拉扯反复，基本面成本强支撑，供应稳定保持高位，重点关注政策落地对需求刺激情况，预计整体价格盘整后依旧趋多运行。</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13885"/>
      <w:r>
        <w:rPr>
          <w:rFonts w:hint="eastAsia" w:ascii="楷体" w:hAnsi="楷体" w:eastAsia="楷体"/>
          <w:b/>
          <w:color w:val="000000" w:themeColor="text1"/>
          <w:sz w:val="24"/>
          <w:szCs w:val="24"/>
          <w14:textFill>
            <w14:solidFill>
              <w14:schemeClr w14:val="tx1"/>
            </w14:solidFill>
          </w14:textFill>
        </w:rPr>
        <w:t>锌：锌市现实需求表现限制上方空间</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有海外美联储降息幅度回收，国内资本市场交投热度降温。从基本面上看，全球锌矿产量减少，海外去年减产产能未恢复，另有部分产能因天气或不可抗力因素减产，俄罗斯Oz、国内的火烧云有增量投放但投放情况对产量补充改善有限，国内锌矿产量有所提增但进口矿补充因成本倒挂受限，国内矿供应依旧保持紧张，矿端加工利润丰厚，矿TC加工费低位，冶炼端保持亏损，叠加原料供应限制，冶炼厂开工率同比下降明显，主要减量来自陕西、安徽、云南、内蒙、广西、辽宁等地。下游需求处于弱现实、强预期的状态，假期间地产、出行等消费改善明显，持续观望利多政策落地效果。宏观情绪明显修复，基本面供应端边际收紧，需求端弱现实、强预期，多重因素影响下，锌价冲破前高后高位回调盘整。</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8487"/>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：短期高位调整，预计空间不大</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(1)库存：10月9日，SHFE仓单库存53070吨，减1547吨；LME仓单库存294825吨，减1450吨。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(2)精废价差：10月9日，Mysteel精废价差1844，收窄134。目前价差在合理价差1476之上。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国庆假期内美国公布就业数据大幅超预期，联储后期降息节奏或放缓，短期美元指数反弹压制整体有色，但经济软着陆方向预期为价格提供支撑。国内政策预期依旧很强，但经济环比改善需要时间验证，市场在乐观预期交易后情绪有所降温。基本面，节中国内铜社会库存大幅累增3万吨+，现货升水承压，短期价格或呈高位调整，但预计空间不大，波动参考76500-78000。后期关注10-11月国内可能的财政增量和海外美大选&amp;美联储降息节奏。</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9878"/>
      <w:r>
        <w:rPr>
          <w:rFonts w:hint="eastAsia" w:ascii="楷体" w:hAnsi="楷体" w:eastAsia="楷体"/>
          <w:b/>
          <w:color w:val="000000" w:themeColor="text1"/>
          <w:sz w:val="24"/>
          <w:szCs w:val="24"/>
          <w14:textFill>
            <w14:solidFill>
              <w14:schemeClr w14:val="tx1"/>
            </w14:solidFill>
          </w14:textFill>
        </w:rPr>
        <w:t>镍：谨慎看待反弹空间</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乐观情绪宣泄后出现降温，关注10月12日国务办会议。从原料来看，焦点在于矿端，目前印尼镍矿供应仍偏紧，若后续供应放宽将使得镍成本支撑下降；菲律宾镍矿主矿区则将步入雨季，存在供应减少预期。从供需来看，下游补库有限，过剩格局未有明显变化，四季度仍有新增产能等待投产。综合而言，宏观情绪出现降温，国内政策仍有期待空间，而镍自身基本面偏弱，库存维持趋势性累库，需谨慎看待反弹空间，关注印尼镍矿供应放宽风险。</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5205"/>
      <w:r>
        <w:rPr>
          <w:rFonts w:hint="eastAsia" w:ascii="楷体" w:hAnsi="楷体" w:eastAsia="楷体"/>
          <w:b/>
          <w:color w:val="000000" w:themeColor="text1"/>
          <w:sz w:val="24"/>
          <w:szCs w:val="24"/>
          <w14:textFill>
            <w14:solidFill>
              <w14:schemeClr w14:val="tx1"/>
            </w14:solidFill>
          </w14:textFill>
        </w:rPr>
        <w:t>锡：谨慎持多</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供应端，缅甸锡矿供应问题依然存在，目前尚未有明确复产消息，关注冶炼端压力或因原料供应偏紧而增大。需求端，半导体行业销量增速回升，2024年1-7 月全球半导体销售额同比+17.32%，国内集成电路产量同比+8.40%，关注宏观利好政策对消费的进一步刺激。库存方面，节前锡锭社库延续去化至1万吨以下，库存压力大幅缓解。整体而言，目前锡基本面保持稳中偏强，在当前宏观利好背景下，节后锡价预计延续偏强状态。但需求端的宏观体现与个体感受差异或将令市场对需求端持谨慎态度，操作上，建议谨慎持多，波动参考26-27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8453"/>
      <w:r>
        <w:rPr>
          <w:rFonts w:hint="eastAsia" w:ascii="楷体" w:hAnsi="楷体" w:eastAsia="楷体"/>
          <w:b/>
          <w:color w:val="000000" w:themeColor="text1"/>
          <w:sz w:val="24"/>
          <w:szCs w:val="24"/>
          <w14:textFill>
            <w14:solidFill>
              <w14:schemeClr w14:val="tx1"/>
            </w14:solidFill>
          </w14:textFill>
        </w:rPr>
        <w:t>铅：供增需弱，铅价承压运行</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闪电牛行情后市场情绪有所降温，持续关注政策力度及经济基本面情况。原料方面，铅精矿维持供需紧平衡状态，加工费低位持稳；废电瓶方面近期产废量有所增加，回收商收货情况好转，废电瓶价格企稳。原生铅方面，节后供应趋增，青海西豫20万吨产能即将投产，豫光金铅节后将恢复检修产线。再生铅方面，再生铅冶炼利润修复，部分炼企计划复产。需求方面，铅市需求表现仍偏弱，节后社库如期累库，10月8日铅锭社会库存为6.46万吨，较9月30日增加1.34万吨，较9月26日增加1.59万吨。新国标放宽车重限制及以旧换新政策对需求改善作用有待观察。综合而言，原生铅及再生铅供应趋增，而实际需求难见明显起色，铅价承压运行，关注下游消费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8687"/>
      <w:r>
        <w:rPr>
          <w:rFonts w:hint="eastAsia" w:ascii="楷体" w:hAnsi="楷体" w:eastAsia="楷体"/>
          <w:b/>
          <w:color w:val="000000" w:themeColor="text1"/>
          <w:sz w:val="24"/>
          <w:szCs w:val="24"/>
          <w14:textFill>
            <w14:solidFill>
              <w14:schemeClr w14:val="tx1"/>
            </w14:solidFill>
          </w14:textFill>
        </w:rPr>
        <w:t>不锈钢：宏观氛围有所降温，暂观望为宜</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目前印尼镍矿供应仍偏紧，持续关注后续动向，菲律宾镍矿主矿区则将步入雨季，存在供应减少预期。镍铁方面，节后镍铁价格持稳，短期镍铁价格继续下调空间或有限，主要是在于矿端带来成本支撑，镍铁供应也趋于紧平衡，据路透社9月30日消息，受印尼镍矿供应短缺影响，青山已减少印尼镍铁产量，具体量级未公布。铬铁方面，北港新材料10月高碳铬铁长协采购价8295元/50基（现金含税到厂价），环比下跌400元。供需方面，节前下游补库驱动库存有所去化，但钢厂减产量级有限， 10月排产水平仍偏高，而宏观政策对需求改善效果尚需时间验证，去库持续性有待观察。 综合而言，市场情绪边际降温，不锈钢基本面偏弱，建议暂观望为主，反弹动能需要看到供需改善，警惕镍矿成本支撑走弱风险。</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29920"/>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宏观情绪边际降温，盘面延续下行</w:t>
      </w:r>
      <w:bookmarkEnd w:id="27"/>
    </w:p>
    <w:p>
      <w:pPr>
        <w:ind w:left="630" w:leftChars="300"/>
        <w:rPr>
          <w:rFonts w:ascii="楷体" w:hAnsi="楷体" w:eastAsia="楷体"/>
          <w:sz w:val="24"/>
          <w:szCs w:val="24"/>
        </w:rPr>
      </w:pPr>
      <w:r>
        <w:rPr>
          <w:rFonts w:hint="eastAsia" w:ascii="楷体" w:hAnsi="楷体" w:eastAsia="楷体"/>
          <w:sz w:val="24"/>
          <w:szCs w:val="24"/>
        </w:rPr>
        <w:t>10月9日，Si2411主力合约延续下行走势，收盘价9575元/吨，较上一收盘价涨跌幅-0.88%。近期，国内宏观政策组合拳政策出台，使得宏观情绪大幅提振，工业品出现明显反弹，但发改委会议对于后续政策表述较为模糊，使得宏观情绪边际有所降温，基本面宽松格局暂未扭转，以及仓单压力暂未完全得到释放，盘面反弹压力仍存，主力合约参考区间（9200，10200）。策略上，维持波段操作思路，可关注反套机会（空Si2411，多Si2412）。</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7165"/>
      <w:r>
        <w:rPr>
          <w:rFonts w:hint="eastAsia" w:ascii="楷体" w:hAnsi="楷体" w:eastAsia="楷体"/>
          <w:b/>
          <w:color w:val="000000" w:themeColor="text1"/>
          <w:sz w:val="24"/>
          <w:szCs w:val="24"/>
          <w14:textFill>
            <w14:solidFill>
              <w14:schemeClr w14:val="tx1"/>
            </w14:solidFill>
          </w14:textFill>
        </w:rPr>
        <w:t>螺纹钢：基本面较为良好，盘面或仍支撑</w:t>
      </w:r>
      <w:bookmarkEnd w:id="28"/>
    </w:p>
    <w:p>
      <w:pPr>
        <w:ind w:left="630" w:leftChars="300"/>
        <w:rPr>
          <w:rFonts w:ascii="楷体" w:hAnsi="楷体" w:eastAsia="楷体"/>
          <w:sz w:val="24"/>
          <w:szCs w:val="24"/>
        </w:rPr>
      </w:pPr>
      <w:r>
        <w:rPr>
          <w:rFonts w:hint="eastAsia" w:ascii="楷体" w:hAnsi="楷体" w:eastAsia="楷体"/>
          <w:sz w:val="24"/>
          <w:szCs w:val="24"/>
        </w:rPr>
        <w:t>近期，国内宏观政策组合拳政策出台，使得宏观情绪大幅提振，工业品出现明显反弹，但昨日发改委会议对于后续政策表述较为模糊，使得宏观情绪边际有所降温。从基本面来看，国庆节假期期间，钢材市场价格普遍出现小幅上涨，节奏上呈现先扬后抑，临近假期末存在降价出货情况，市场情绪略有降温，但现货市场依旧较为强劲。目前进入传统旺季，行业整体呈供需双增格局，节前库存大幅去化，维持低库存运行，基本面整体较为良好。据住建部透露在国庆节假期期间，多数参与促销活动的房地产项目到访量同比增长超过50%，或将继续支撑市场情绪。策略上，可尝试逢低做多机会。</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9172"/>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23670"/>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泰南地区雨天减少EUDR政策延缓 胶价高位回落</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节后国内橡胶价格出现回落，主因前期外盘橡胶受EUDR政策推迟影响大跌所致，同时泰国南部主产区未来一周多地降雨减缓，供应有增量预期。短期双重利空因素浮现下，胶价高位回落。成本端，从泰国宋卡地区的最新报价来看，目前各品类胶价近期延续上涨，与国内天然橡胶期货更密切相关的浅色胶价格涨幅最大。但伴随天气好转，原料价格持续攀升动能存疑。库存方面，海外橡胶进口受前期运输暂缓影响，现货市场流动性偏紧，近两周青岛港口去库幅度较大。下游需求方面，近期半钢胎企业排产稳定，因模具调换整体小幅波动为主。内外销出货表现平稳，部分规格缺货现象仍存。中国全钢胎样本企业方面，整体出货表现一般。整体看，尽管四季度橡胶基本面因供应缩量的支撑下以偏多头思路看待，但仍需关注海外橡胶期价下跌对国内盘面的影响，以及东南亚主产区近期降水问题有出现缓和迹象，短期不排除原料价格回落、制约胶价表现。</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11023"/>
      <w:r>
        <w:rPr>
          <w:rFonts w:hint="eastAsia" w:ascii="Times New Roman" w:hAnsi="Times New Roman" w:eastAsia="楷体"/>
          <w:b/>
          <w:color w:val="000000" w:themeColor="text1"/>
          <w:sz w:val="24"/>
          <w:szCs w:val="24"/>
          <w14:textFill>
            <w14:solidFill>
              <w14:schemeClr w14:val="tx1"/>
            </w14:solidFill>
          </w14:textFill>
        </w:rPr>
        <w:t>聚烯烃：成本端和宏观提振减弱，聚烯烃延续回落</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昨日塑料价格在成本支撑减弱和宏观降温后涨后回落。成本端原油方面，以色列与伊朗局势问题仍影响显著，目前来看双方冲突暂未进一步恶化，潜在供应风险的担忧略有减弱，此外需求现状依然疲软，预计国际原油期货价格或偏弱整理。同时考虑到现实供需端的压力，主要是前期检修装置的逐步复产和部分新增产能项目的上马推进，上方反弹幅度受限。贸易商根据库存情况部分上调价格，但聚烯烃终端下游开工整体变化不大，节前补库力度不及预期。后市需持续关注宏观对聚烯烃的提振和地缘冲突的情况，短期偏震荡思路看待。</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23285"/>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4" w:name="_Toc10399"/>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22077"/>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5"/>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6" w:name="_Toc15743"/>
      <w:r>
        <w:rPr>
          <w:rFonts w:hint="eastAsia" w:ascii="Times New Roman" w:hAnsi="Times New Roman" w:eastAsia="楷体"/>
          <w:b/>
          <w:color w:val="000000" w:themeColor="text1"/>
          <w:sz w:val="24"/>
          <w:szCs w:val="24"/>
          <w14:textFill>
            <w14:solidFill>
              <w14:schemeClr w14:val="tx1"/>
            </w14:solidFill>
          </w14:textFill>
        </w:rPr>
        <w:t>PTA：供需矛盾不突出 跟随成本端波动</w:t>
      </w:r>
      <w:bookmarkEnd w:id="36"/>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原油方面，伊朗及以色列之间的紧张气氛有所缓和，叠加美国能源信息署下调需求增速预测，国际油价下跌修复地缘及超涨溢价。短期来看随着天气转冷下游开工小幅提升，聚酯装置检修或者减产后陆续恢复，国内大陆地区聚酯负荷在9成附近。检修增多供给端开工下滑旺季预期仍存，9月PTA累库格局放缓供需格局改善。短线聚酯产业链价格随着宏观降息改善、国内金融市场多重利好政策集中释放带动企稳反弹。9月下旬到10月这段时间服装电商开始集中下单，关注PTA阶段性供需去库行情。综合来看，PTA近期受成本端走弱VS终端正反馈，在宏观情绪及成本端趋弱推动下，期价弱势调整。</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7" w:name="_Toc23448"/>
      <w:r>
        <w:rPr>
          <w:rFonts w:hint="eastAsia" w:ascii="Times New Roman" w:hAnsi="Times New Roman" w:eastAsia="楷体"/>
          <w:b/>
          <w:color w:val="000000" w:themeColor="text1"/>
          <w:sz w:val="24"/>
          <w:szCs w:val="24"/>
          <w14:textFill>
            <w14:solidFill>
              <w14:schemeClr w14:val="tx1"/>
            </w14:solidFill>
          </w14:textFill>
        </w:rPr>
        <w:t>乙二醇：供需格局尚可 修复低估值</w:t>
      </w:r>
      <w:bookmarkEnd w:id="37"/>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供需情况，截至10.8 华东主港地区MEG港口库存约54.8万吨附近，环比上期（9.30）下降3万吨。乙二醇近期到港减少，主港显性库存去化明显，绝对库存处于历年低位水平。下游聚酯开工情况来看，聚酯端负荷整体保持良好，尤其是长丝负荷持续较高。聚酯端库存来看，节前最后一周下游各领域均有刚需备货需求，长丝促销效果显著，整体库存节前维持去化。乙二醇供应回升但进口减少9月偏去库，9-10的旺季预期乙二醇自身供需尚可。根据供需平衡表测算10月紧平衡叠加低库存，受国内政策利好及成本端强势提振，乙二醇低估值有望修复。</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8" w:name="_Toc22819"/>
      <w:r>
        <w:rPr>
          <w:rFonts w:hint="eastAsia" w:ascii="Times New Roman" w:hAnsi="Times New Roman" w:eastAsia="楷体"/>
          <w:b/>
          <w:color w:val="823C0B"/>
          <w:sz w:val="30"/>
          <w:szCs w:val="30"/>
        </w:rPr>
        <w:t>[农产品]</w:t>
      </w:r>
      <w:bookmarkEnd w:id="14"/>
      <w:bookmarkEnd w:id="38"/>
    </w:p>
    <w:p>
      <w:pPr>
        <w:pStyle w:val="93"/>
        <w:spacing w:before="60" w:beforeAutospacing="0" w:after="60" w:afterAutospacing="0"/>
        <w:ind w:left="420" w:leftChars="200"/>
        <w:outlineLvl w:val="1"/>
        <w:rPr>
          <w:rFonts w:hint="eastAsia" w:ascii="楷体" w:hAnsi="楷体" w:eastAsia="楷体"/>
          <w:b/>
        </w:rPr>
      </w:pPr>
      <w:bookmarkStart w:id="39" w:name="_Toc7856"/>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期价震荡偏弱</w:t>
      </w:r>
      <w:bookmarkEnd w:id="39"/>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表现分化，东北产区带动南北方港口稳中有跌，华北产区继续涨跌互现；玉米期价全天窄幅震荡，收盘变动不大。对于玉米而言，国庆节前期价低位快速反弹，一方面是宏观经济氛围好转，另一方面是现货层面的推动，包括华北现货快速反弹，小麦现货止跌回升，而南方销区出现小幅上涨，但从国庆长假期间的现货表现来看，节前现货表现更多是阶段性的因素，华北产区可理解为旧作去库存临近尾声，且持续下跌带来惜售心理，南方销区或更多源于节前备货，其持续性均存疑，接下来市场会重新关注新作上市压力，考虑到目前期价转为升水现货，期价或再度转为弱势，在这种情况下，我们暂维持中性观点，建议投资者暂以观望为宜。</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玉米淀粉现货稳中有跌，部分地区报价下调50-80元不等；淀粉期价表现相对弱势，带动淀粉-玉米价差小幅收窄。对于淀粉而言，影响淀粉-玉米价差的三个方面因素发生着变化，副产品依然利多，原料端则转向偏多，因国庆长假前后华北玉米反弹，而东北玉米持续弱势，华北-东北玉米价差有望走扩；行业供需转向偏空，因行业库存开始回升，而下游开机率出现下降。在这种情况下，我们暂维持中性观点，建议单边投资者暂以观望为宜，套利投资者可以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621"/>
      <w:r>
        <w:rPr>
          <w:rFonts w:hint="eastAsia" w:ascii="楷体" w:hAnsi="楷体" w:eastAsia="楷体"/>
          <w:b/>
          <w:bCs/>
          <w:color w:val="000000" w:themeColor="text1"/>
          <w14:textFill>
            <w14:solidFill>
              <w14:schemeClr w14:val="tx1"/>
            </w14:solidFill>
          </w14:textFill>
        </w:rPr>
        <w:t>畜禽养殖：生猪近月期价大幅反弹</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多有上涨，全国均价上涨0.19元至17.80元/公斤；期价受现货带动整体偏强，近月相对强于远月。对于生猪而言，从期价远期贴水结构可以看出，市场对生猪市场远期供需改善预期较为一致，这可以从若干方面得到印证，包括能繁母猪存栏见底回升，猪料产量环比增加，仔猪价格见顶回落等。市场分歧或更多集中在11月合约上，这主要源于两个方面，即二育规模和消费需求，8月以来生猪屠宰量增加，肥标价差回落，使得市场担心生猪供应低点对应现货价格高点已经出现。但在我们看来，从供应角度看春节前猪价下跌空间或有限，与过去两年特别是2022年相比，农业农村部公布的2季度末生猪存栏量更低，而7月规模以上屠宰企业生猪屠宰量更高，加上涌益咨询公布的7月以来日度屠宰量亦高于2022年，因此，可以合理推算四季度供应压力显著低于2022年。而8月以来特别是9月生猪出栏增加而体重下滑，带动供应提前释放，这反而有利于年前特别是四季度猪价。而需求则存在较大的不确定性，受宏观经济影响，市场反映今年需求不及往年同期，这会抑制猪价上方空间。随着国家政策的调整，加上气温的下降，生猪需求或有所改善。在这种情况下，我们持谨慎看多观点，建议谨慎投资者观望，激进投资者可以考虑持有前期多单。</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价格延续弱势，其中主产区均价下跌0.06元至4.29元/斤，主销区均价下跌0.07元至4.46元/斤；期价整体表现分化，近月受基差带动多有上涨，而远月则窄幅震荡，收盘变动不大。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建议谨慎投资者观望，激进投资者可以考虑基于基差而轻仓做多近月合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11581"/>
      <w:r>
        <w:rPr>
          <w:rFonts w:hint="eastAsia" w:ascii="楷体" w:hAnsi="楷体" w:eastAsia="楷体"/>
          <w:b/>
          <w:bCs/>
          <w:color w:val="000000" w:themeColor="text1"/>
          <w14:textFill>
            <w14:solidFill>
              <w14:schemeClr w14:val="tx1"/>
            </w14:solidFill>
          </w14:textFill>
        </w:rPr>
        <w:t>白糖：巴西迎来有益降雨，国际糖价回落</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原糖11号主力合约下跌1.69%，伦敦白砂糖主力合约下跌1.54%。据外电10月8日消息，巴西对外贸易秘书处(Secex)公布的出口数据显示，巴西10月第一周出口糖761,441.49吨，日均出口量为190,360.37吨，较上年10月全月的日均出口量136,869.52吨增加39%。</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台风定损仍在进行中。截至10月8日，已有7个台风登陆，较往年偏多0.3个。后续预计仍将有1-2个台风继续登陆。台风带来的甘蔗折断、倒伏，浸泡，预计将影响本年度白糖产量30-50万吨。预计白糖5800—6000区间震荡。</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4391"/>
      <w:r>
        <w:rPr>
          <w:rFonts w:hint="eastAsia" w:ascii="楷体" w:hAnsi="楷体" w:eastAsia="楷体"/>
          <w:b/>
          <w:bCs/>
          <w:color w:val="000000" w:themeColor="text1"/>
          <w14:textFill>
            <w14:solidFill>
              <w14:schemeClr w14:val="tx1"/>
            </w14:solidFill>
          </w14:textFill>
        </w:rPr>
        <w:t>棉花：套保盘试压，预计郑棉区间震荡</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隔日外盘，ICE美棉主力微涨0.03%。据天气预报，美棉收割期间整体天气状况良好，利于收割，仅飓风影响的产区内优良率以及收割进度不佳。上行动能不足，美棉偏弱震荡，关注即将到来的月度供需报告。</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新棉收购有序进行，价格较初开秤时小幅上涨，轧花厂收购极为谨慎小心，风险偏好低，套保意愿较强。政策对实体消费的提振效果尚有待观察，新棉方面亦难以支撑棉价持续性上涨，套保资金压制下，短期内转入震荡行情或回落。</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3" w:name="_Toc17672"/>
      <w:r>
        <w:rPr>
          <w:rFonts w:hint="eastAsia" w:ascii="楷体" w:hAnsi="楷体" w:eastAsia="楷体"/>
          <w:b/>
          <w:bCs/>
          <w:color w:val="000000" w:themeColor="text1"/>
          <w14:textFill>
            <w14:solidFill>
              <w14:schemeClr w14:val="tx1"/>
            </w14:solidFill>
          </w14:textFill>
        </w:rPr>
        <w:t>蛋白粕：巴西天气好转，带动粕类走低</w:t>
      </w:r>
      <w:bookmarkEnd w:id="4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上涨0.52%，国内夜盘豆二下跌0.35%，豆粕下跌0.53%；菜籽下跌0.98%，菜粕下跌1.07%。10月9日Anec发布的报告显示，巴西10月大豆出口量预计为412万吨，而去年同期为595万吨；10月豆粕出口量预计为228万吨，而去年同期为165万吨。巴西降雨使大豆播种工作得以推进，据外电10月8日消息，巴西新作大豆播种工作在9月28日-10月4日期间取得不错进展。虽然种植进度依然落后于去年同期和五年同期平均水平，但预计后续降雨能缓解该问题，今年大豆丰产基本落定。据Mysteel调研显示，截至10月8日，沿海地区主要油厂菜籽库存43.8万吨，环比上周减少7.20万吨；菜粕库存5.99万吨，环比上周增加1.93万吨；未执行合同为20.61万吨，环比上周减少2.40万吨。菜粕库存仍在累积，节后备货情绪一般，刚性补库为主。</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4" w:name="_Toc9339"/>
      <w:r>
        <w:rPr>
          <w:rFonts w:hint="eastAsia" w:ascii="楷体" w:hAnsi="楷体" w:eastAsia="楷体"/>
          <w:b/>
          <w:bCs/>
          <w:color w:val="000000" w:themeColor="text1"/>
          <w14:textFill>
            <w14:solidFill>
              <w14:schemeClr w14:val="tx1"/>
            </w14:solidFill>
          </w14:textFill>
        </w:rPr>
        <w:t>油脂类：区间震荡调整</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昨日夜盘豆油下跌0.63%，菜油下跌0.22%，棕榈油下跌0.44%，市场情绪降温，价格回落。9月马棕预期产量减少1.5%，出口减少1.65%，持续累库。但随着马来增产季的</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即将结束，预计后续累库幅度有限，同时即将到来的东北季风降雨季或将导致产量放缓，因其带来大量降雨，可能中断收割。库存整体偏低给予棕榈油市场支撑，我国进口成本维持高位，预计棕榈油现货价格下方空间有限，等待10日MPOB供需报告指引。豆菜油方面，目前供应较为宽松，基本面偏弱，跟随棕榈油变动。</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5" w:name="_Toc1806"/>
      <w:r>
        <w:rPr>
          <w:rFonts w:hint="eastAsia" w:ascii="Times New Roman" w:hAnsi="Times New Roman" w:eastAsia="楷体"/>
          <w:b/>
          <w:color w:val="823C0B"/>
          <w:sz w:val="30"/>
          <w:szCs w:val="30"/>
        </w:rPr>
        <w:t>[指数]</w:t>
      </w:r>
      <w:bookmarkEnd w:id="45"/>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6" w:name="_Toc17921"/>
      <w:r>
        <w:rPr>
          <w:rFonts w:hint="eastAsia" w:ascii="Times New Roman" w:hAnsi="Times New Roman" w:eastAsia="楷体"/>
          <w:b/>
          <w:color w:val="000000" w:themeColor="text1"/>
          <w:sz w:val="24"/>
          <w:szCs w:val="24"/>
          <w14:textFill>
            <w14:solidFill>
              <w14:schemeClr w14:val="tx1"/>
            </w14:solidFill>
          </w14:textFill>
        </w:rPr>
        <w:t>集运指数（欧线）：现货运价下行，期价承压</w:t>
      </w:r>
      <w:bookmarkEnd w:id="46"/>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12合约跌5.25%至1926.0。运价回归基本面走势，需求季节性转弱，即期运价持续走低，期价大幅下跌，12合约跌19.87%至1900.0。今年9月全球新船订单量为90艘，同比降25%，环比降49%。欧元区8月份零售销售同比增长0.8%，预期为1%；零售销售环比增长0.2%，符合预期。欧盟经济委员真蒂洛尼表示，尽管存在地缘政治阻力，欧元区今年的经济增长将接近欧盟委员会0.8%的预测。CMA CGM 10月15日起下调欧线旺季附加费至250/500。10月7日，SCFIS欧线指数为2662.75点，相较上期跌15.86%。本周及下周剩余现舱40GP均价约3300美元。期价承压偏空运行，维持反弹做空思路，留意短期波动加剧风险。</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7" w:name="_Toc12779"/>
      <w:bookmarkStart w:id="48" w:name="_Toc72481108"/>
      <w:bookmarkStart w:id="49" w:name="_Toc71212556"/>
      <w:bookmarkStart w:id="50" w:name="_Toc19667"/>
      <w:bookmarkStart w:id="51" w:name="_Toc98426751"/>
      <w:r>
        <w:rPr>
          <w:rFonts w:ascii="Times New Roman" w:hAnsi="Times New Roman" w:eastAsia="楷体"/>
          <w:b/>
          <w:color w:val="411D05"/>
          <w:sz w:val="30"/>
          <w:szCs w:val="30"/>
        </w:rPr>
        <w:t>免责声明</w:t>
      </w:r>
      <w:bookmarkEnd w:id="47"/>
      <w:bookmarkEnd w:id="48"/>
      <w:bookmarkEnd w:id="49"/>
      <w:bookmarkEnd w:id="50"/>
      <w:bookmarkEnd w:id="5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2024年10月10日星期四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16719E"/>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E44318"/>
    <w:rsid w:val="40F15753"/>
    <w:rsid w:val="41F950F8"/>
    <w:rsid w:val="428A4A5E"/>
    <w:rsid w:val="42EB3BA1"/>
    <w:rsid w:val="42F51780"/>
    <w:rsid w:val="43F11831"/>
    <w:rsid w:val="43F63E0D"/>
    <w:rsid w:val="44092E2E"/>
    <w:rsid w:val="441077D2"/>
    <w:rsid w:val="44396064"/>
    <w:rsid w:val="458C38B3"/>
    <w:rsid w:val="459609D9"/>
    <w:rsid w:val="45A37566"/>
    <w:rsid w:val="45B634E5"/>
    <w:rsid w:val="45CF0A85"/>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38706F0"/>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C32497"/>
    <w:rsid w:val="669D0EEA"/>
    <w:rsid w:val="66B64FC1"/>
    <w:rsid w:val="66C861F9"/>
    <w:rsid w:val="66D04BBC"/>
    <w:rsid w:val="67655BF9"/>
    <w:rsid w:val="678C3343"/>
    <w:rsid w:val="67C6389B"/>
    <w:rsid w:val="685D4EEE"/>
    <w:rsid w:val="68AE1587"/>
    <w:rsid w:val="68CC4906"/>
    <w:rsid w:val="68D53E8D"/>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2024-10-10T01:49:33Z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