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_Toc30974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_Toc27454 </w:instrText>
          </w:r>
          <w:r>
            <w:rPr>
              <w:bCs/>
            </w:rPr>
            <w:fldChar w:fldCharType="separate"/>
          </w:r>
          <w:r>
            <w:rPr>
              <w:rFonts w:hint="eastAsia" w:ascii="Times New Roman" w:hAnsi="Times New Roman" w:eastAsia="楷体"/>
              <w:szCs w:val="24"/>
            </w:rPr>
            <w:t>股指：超跌反弹后维持弱市震荡观点</w:t>
          </w:r>
          <w:r>
            <w:rPr>
              <w:bCs/>
            </w:rPr>
            <w:fldChar w:fldCharType="end"/>
          </w:r>
        </w:p>
        <w:p>
          <w:pPr>
            <w:pStyle w:val="59"/>
            <w:tabs>
              <w:tab w:val="right" w:leader="dot" w:pos="8306"/>
            </w:tabs>
          </w:pPr>
          <w:r>
            <w:rPr>
              <w:bCs/>
            </w:rPr>
            <w:fldChar w:fldCharType="begin"/>
          </w:r>
          <w:r>
            <w:rPr>
              <w:bCs/>
            </w:rPr>
            <w:instrText xml:space="preserve"> HYPERLINK \l _Toc25633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_Toc20158 </w:instrText>
          </w:r>
          <w:r>
            <w:rPr>
              <w:bCs/>
            </w:rPr>
            <w:fldChar w:fldCharType="separate"/>
          </w:r>
          <w:r>
            <w:rPr>
              <w:rFonts w:hint="eastAsia" w:ascii="Times New Roman" w:hAnsi="Times New Roman" w:eastAsia="楷体"/>
              <w:szCs w:val="24"/>
            </w:rPr>
            <w:t>贵金属：美国就业降温，贵金属价格小幅回落</w:t>
          </w:r>
          <w:r>
            <w:rPr>
              <w:bCs/>
            </w:rPr>
            <w:fldChar w:fldCharType="end"/>
          </w:r>
        </w:p>
        <w:p>
          <w:pPr>
            <w:pStyle w:val="59"/>
            <w:tabs>
              <w:tab w:val="right" w:leader="dot" w:pos="8306"/>
            </w:tabs>
          </w:pPr>
          <w:r>
            <w:rPr>
              <w:bCs/>
            </w:rPr>
            <w:fldChar w:fldCharType="begin"/>
          </w:r>
          <w:r>
            <w:rPr>
              <w:bCs/>
            </w:rPr>
            <w:instrText xml:space="preserve"> HYPERLINK \l _Toc645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_Toc29193 </w:instrText>
          </w:r>
          <w:r>
            <w:rPr>
              <w:bCs/>
            </w:rPr>
            <w:fldChar w:fldCharType="separate"/>
          </w:r>
          <w:r>
            <w:rPr>
              <w:rFonts w:hint="eastAsia" w:ascii="楷体" w:hAnsi="楷体" w:eastAsia="楷体"/>
              <w:szCs w:val="24"/>
            </w:rPr>
            <w:t>碳酸锂：周度产量及开工率下行，期价维持跌势</w:t>
          </w:r>
          <w:r>
            <w:rPr>
              <w:bCs/>
            </w:rPr>
            <w:fldChar w:fldCharType="end"/>
          </w:r>
        </w:p>
        <w:p>
          <w:pPr>
            <w:pStyle w:val="74"/>
            <w:tabs>
              <w:tab w:val="right" w:leader="dot" w:pos="8306"/>
            </w:tabs>
          </w:pPr>
          <w:r>
            <w:rPr>
              <w:bCs/>
            </w:rPr>
            <w:fldChar w:fldCharType="begin"/>
          </w:r>
          <w:r>
            <w:rPr>
              <w:bCs/>
            </w:rPr>
            <w:instrText xml:space="preserve"> HYPERLINK \l _Toc4585 </w:instrText>
          </w:r>
          <w:r>
            <w:rPr>
              <w:bCs/>
            </w:rPr>
            <w:fldChar w:fldCharType="separate"/>
          </w:r>
          <w:r>
            <w:rPr>
              <w:rFonts w:hint="eastAsia" w:ascii="楷体" w:hAnsi="楷体" w:eastAsia="楷体"/>
              <w:szCs w:val="24"/>
            </w:rPr>
            <w:t>铝：宏观引领盘面走势，短期铝价承压运行</w:t>
          </w:r>
          <w:r>
            <w:rPr>
              <w:bCs/>
            </w:rPr>
            <w:fldChar w:fldCharType="end"/>
          </w:r>
        </w:p>
        <w:p>
          <w:pPr>
            <w:pStyle w:val="74"/>
            <w:tabs>
              <w:tab w:val="right" w:leader="dot" w:pos="8306"/>
            </w:tabs>
          </w:pPr>
          <w:r>
            <w:rPr>
              <w:bCs/>
            </w:rPr>
            <w:fldChar w:fldCharType="begin"/>
          </w:r>
          <w:r>
            <w:rPr>
              <w:bCs/>
            </w:rPr>
            <w:instrText xml:space="preserve"> HYPERLINK \l _Toc31287 </w:instrText>
          </w:r>
          <w:r>
            <w:rPr>
              <w:bCs/>
            </w:rPr>
            <w:fldChar w:fldCharType="separate"/>
          </w:r>
          <w:r>
            <w:rPr>
              <w:rFonts w:hint="eastAsia" w:ascii="楷体" w:hAnsi="楷体" w:eastAsia="楷体"/>
              <w:szCs w:val="24"/>
            </w:rPr>
            <w:t>锌：价格上下有限，建议高抛低吸</w:t>
          </w:r>
          <w:r>
            <w:rPr>
              <w:bCs/>
            </w:rPr>
            <w:fldChar w:fldCharType="end"/>
          </w:r>
        </w:p>
        <w:p>
          <w:pPr>
            <w:pStyle w:val="74"/>
            <w:tabs>
              <w:tab w:val="right" w:leader="dot" w:pos="8306"/>
            </w:tabs>
          </w:pPr>
          <w:r>
            <w:rPr>
              <w:bCs/>
            </w:rPr>
            <w:fldChar w:fldCharType="begin"/>
          </w:r>
          <w:r>
            <w:rPr>
              <w:bCs/>
            </w:rPr>
            <w:instrText xml:space="preserve"> HYPERLINK \l _Toc28655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：仍有下探压力</w:t>
          </w:r>
          <w:r>
            <w:rPr>
              <w:bCs/>
            </w:rPr>
            <w:fldChar w:fldCharType="end"/>
          </w:r>
        </w:p>
        <w:p>
          <w:pPr>
            <w:pStyle w:val="74"/>
            <w:tabs>
              <w:tab w:val="right" w:leader="dot" w:pos="8306"/>
            </w:tabs>
          </w:pPr>
          <w:r>
            <w:rPr>
              <w:bCs/>
            </w:rPr>
            <w:fldChar w:fldCharType="begin"/>
          </w:r>
          <w:r>
            <w:rPr>
              <w:bCs/>
            </w:rPr>
            <w:instrText xml:space="preserve"> HYPERLINK \l _Toc12174 </w:instrText>
          </w:r>
          <w:r>
            <w:rPr>
              <w:bCs/>
            </w:rPr>
            <w:fldChar w:fldCharType="separate"/>
          </w:r>
          <w:r>
            <w:rPr>
              <w:rFonts w:hint="eastAsia" w:ascii="楷体" w:hAnsi="楷体" w:eastAsia="楷体"/>
              <w:szCs w:val="24"/>
            </w:rPr>
            <w:t>镍：衰退预期再起，镍价或偏弱运行</w:t>
          </w:r>
          <w:r>
            <w:rPr>
              <w:bCs/>
            </w:rPr>
            <w:fldChar w:fldCharType="end"/>
          </w:r>
        </w:p>
        <w:p>
          <w:pPr>
            <w:pStyle w:val="74"/>
            <w:tabs>
              <w:tab w:val="right" w:leader="dot" w:pos="8306"/>
            </w:tabs>
          </w:pPr>
          <w:r>
            <w:rPr>
              <w:bCs/>
            </w:rPr>
            <w:fldChar w:fldCharType="begin"/>
          </w:r>
          <w:r>
            <w:rPr>
              <w:bCs/>
            </w:rPr>
            <w:instrText xml:space="preserve"> HYPERLINK \l _Toc18512 </w:instrText>
          </w:r>
          <w:r>
            <w:rPr>
              <w:bCs/>
            </w:rPr>
            <w:fldChar w:fldCharType="separate"/>
          </w:r>
          <w:r>
            <w:rPr>
              <w:rFonts w:hint="eastAsia" w:ascii="楷体" w:hAnsi="楷体" w:eastAsia="楷体"/>
              <w:szCs w:val="24"/>
            </w:rPr>
            <w:t>不锈钢：原料支撑显现，但供需压力制约上行空间</w:t>
          </w:r>
          <w:r>
            <w:rPr>
              <w:bCs/>
            </w:rPr>
            <w:fldChar w:fldCharType="end"/>
          </w:r>
        </w:p>
        <w:p>
          <w:pPr>
            <w:pStyle w:val="74"/>
            <w:tabs>
              <w:tab w:val="right" w:leader="dot" w:pos="8306"/>
            </w:tabs>
          </w:pPr>
          <w:r>
            <w:rPr>
              <w:bCs/>
            </w:rPr>
            <w:fldChar w:fldCharType="begin"/>
          </w:r>
          <w:r>
            <w:rPr>
              <w:bCs/>
            </w:rPr>
            <w:instrText xml:space="preserve"> HYPERLINK \l _Toc2397 </w:instrText>
          </w:r>
          <w:r>
            <w:rPr>
              <w:bCs/>
            </w:rPr>
            <w:fldChar w:fldCharType="separate"/>
          </w:r>
          <w:r>
            <w:rPr>
              <w:rFonts w:hint="eastAsia" w:ascii="楷体" w:hAnsi="楷体" w:eastAsia="楷体"/>
              <w:szCs w:val="24"/>
            </w:rPr>
            <w:t>工业硅：暂无明显单边驱动，短期或延续震荡</w:t>
          </w:r>
          <w:r>
            <w:rPr>
              <w:bCs/>
            </w:rPr>
            <w:fldChar w:fldCharType="end"/>
          </w:r>
        </w:p>
        <w:p>
          <w:pPr>
            <w:pStyle w:val="59"/>
            <w:tabs>
              <w:tab w:val="right" w:leader="dot" w:pos="8306"/>
            </w:tabs>
          </w:pPr>
          <w:r>
            <w:rPr>
              <w:bCs/>
            </w:rPr>
            <w:fldChar w:fldCharType="begin"/>
          </w:r>
          <w:r>
            <w:rPr>
              <w:bCs/>
            </w:rPr>
            <w:instrText xml:space="preserve"> HYPERLINK \l _Toc11691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_Toc11794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成本端企稳 胶价有所回暖</w:t>
          </w:r>
          <w:r>
            <w:rPr>
              <w:bCs/>
            </w:rPr>
            <w:fldChar w:fldCharType="end"/>
          </w:r>
        </w:p>
        <w:p>
          <w:pPr>
            <w:pStyle w:val="74"/>
            <w:tabs>
              <w:tab w:val="right" w:leader="dot" w:pos="8306"/>
            </w:tabs>
          </w:pPr>
          <w:r>
            <w:rPr>
              <w:bCs/>
            </w:rPr>
            <w:fldChar w:fldCharType="begin"/>
          </w:r>
          <w:r>
            <w:rPr>
              <w:bCs/>
            </w:rPr>
            <w:instrText xml:space="preserve"> HYPERLINK \l _Toc14811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_Toc12468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厂家利润较低下行空间不大，期货市场或保持弱震荡</w:t>
          </w:r>
          <w:r>
            <w:rPr>
              <w:bCs/>
            </w:rPr>
            <w:fldChar w:fldCharType="end"/>
          </w:r>
        </w:p>
        <w:p>
          <w:pPr>
            <w:pStyle w:val="74"/>
            <w:tabs>
              <w:tab w:val="right" w:leader="dot" w:pos="8306"/>
            </w:tabs>
          </w:pPr>
          <w:r>
            <w:rPr>
              <w:bCs/>
            </w:rPr>
            <w:fldChar w:fldCharType="begin"/>
          </w:r>
          <w:r>
            <w:rPr>
              <w:bCs/>
            </w:rPr>
            <w:instrText xml:space="preserve"> HYPERLINK \l _Toc31227 </w:instrText>
          </w:r>
          <w:r>
            <w:rPr>
              <w:bCs/>
            </w:rPr>
            <w:fldChar w:fldCharType="separate"/>
          </w:r>
          <w:r>
            <w:rPr>
              <w:rFonts w:hint="eastAsia" w:ascii="Times New Roman" w:hAnsi="Times New Roman" w:eastAsia="楷体"/>
              <w:szCs w:val="24"/>
            </w:rPr>
            <w:t>纯碱：现货下跌保持疲弱，短期或仍存下探空间</w:t>
          </w:r>
          <w:r>
            <w:rPr>
              <w:bCs/>
            </w:rPr>
            <w:fldChar w:fldCharType="end"/>
          </w:r>
        </w:p>
        <w:p>
          <w:pPr>
            <w:pStyle w:val="74"/>
            <w:tabs>
              <w:tab w:val="right" w:leader="dot" w:pos="8306"/>
            </w:tabs>
          </w:pPr>
          <w:r>
            <w:rPr>
              <w:bCs/>
            </w:rPr>
            <w:fldChar w:fldCharType="begin"/>
          </w:r>
          <w:r>
            <w:rPr>
              <w:bCs/>
            </w:rPr>
            <w:instrText xml:space="preserve"> HYPERLINK \l _Toc24416 </w:instrText>
          </w:r>
          <w:r>
            <w:rPr>
              <w:bCs/>
            </w:rPr>
            <w:fldChar w:fldCharType="separate"/>
          </w:r>
          <w:r>
            <w:rPr>
              <w:rFonts w:hint="eastAsia" w:ascii="Times New Roman" w:hAnsi="Times New Roman" w:eastAsia="楷体"/>
              <w:szCs w:val="24"/>
            </w:rPr>
            <w:t>PTA：跟随成本期价震荡偏强</w:t>
          </w:r>
          <w:r>
            <w:rPr>
              <w:bCs/>
            </w:rPr>
            <w:fldChar w:fldCharType="end"/>
          </w:r>
        </w:p>
        <w:p>
          <w:pPr>
            <w:pStyle w:val="74"/>
            <w:tabs>
              <w:tab w:val="right" w:leader="dot" w:pos="8306"/>
            </w:tabs>
          </w:pPr>
          <w:r>
            <w:rPr>
              <w:bCs/>
            </w:rPr>
            <w:fldChar w:fldCharType="begin"/>
          </w:r>
          <w:r>
            <w:rPr>
              <w:bCs/>
            </w:rPr>
            <w:instrText xml:space="preserve"> HYPERLINK \l _Toc19323 </w:instrText>
          </w:r>
          <w:r>
            <w:rPr>
              <w:bCs/>
            </w:rPr>
            <w:fldChar w:fldCharType="separate"/>
          </w:r>
          <w:r>
            <w:rPr>
              <w:rFonts w:hint="eastAsia" w:ascii="Times New Roman" w:hAnsi="Times New Roman" w:eastAsia="楷体"/>
              <w:szCs w:val="24"/>
            </w:rPr>
            <w:t>乙二醇：供需去库 期价震荡偏强</w:t>
          </w:r>
          <w:r>
            <w:rPr>
              <w:bCs/>
            </w:rPr>
            <w:fldChar w:fldCharType="end"/>
          </w:r>
        </w:p>
        <w:p>
          <w:pPr>
            <w:pStyle w:val="59"/>
            <w:tabs>
              <w:tab w:val="right" w:leader="dot" w:pos="8306"/>
            </w:tabs>
          </w:pPr>
          <w:r>
            <w:rPr>
              <w:bCs/>
            </w:rPr>
            <w:fldChar w:fldCharType="begin"/>
          </w:r>
          <w:r>
            <w:rPr>
              <w:bCs/>
            </w:rPr>
            <w:instrText xml:space="preserve"> HYPERLINK \l _Toc21115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_Toc15095 </w:instrText>
          </w:r>
          <w:r>
            <w:rPr>
              <w:bCs/>
            </w:rPr>
            <w:fldChar w:fldCharType="separate"/>
          </w:r>
          <w:r>
            <w:rPr>
              <w:rFonts w:hint="eastAsia" w:ascii="楷体" w:hAnsi="楷体" w:eastAsia="楷体"/>
              <w:bCs/>
            </w:rPr>
            <w:t>玉米与淀粉：</w:t>
          </w:r>
          <w:r>
            <w:rPr>
              <w:rFonts w:hint="eastAsia" w:ascii="楷体" w:hAnsi="楷体" w:eastAsia="楷体"/>
            </w:rPr>
            <w:t>期价弱势未改</w:t>
          </w:r>
          <w:r>
            <w:rPr>
              <w:bCs/>
            </w:rPr>
            <w:fldChar w:fldCharType="end"/>
          </w:r>
        </w:p>
        <w:p>
          <w:pPr>
            <w:pStyle w:val="74"/>
            <w:tabs>
              <w:tab w:val="right" w:leader="dot" w:pos="8306"/>
            </w:tabs>
          </w:pPr>
          <w:r>
            <w:rPr>
              <w:bCs/>
            </w:rPr>
            <w:fldChar w:fldCharType="begin"/>
          </w:r>
          <w:r>
            <w:rPr>
              <w:bCs/>
            </w:rPr>
            <w:instrText xml:space="preserve"> HYPERLINK \l _Toc10939 </w:instrText>
          </w:r>
          <w:r>
            <w:rPr>
              <w:bCs/>
            </w:rPr>
            <w:fldChar w:fldCharType="separate"/>
          </w:r>
          <w:r>
            <w:rPr>
              <w:rFonts w:hint="eastAsia" w:ascii="楷体" w:hAnsi="楷体" w:eastAsia="楷体"/>
              <w:bCs/>
            </w:rPr>
            <w:t>畜禽养殖：现货带动近月期价上涨</w:t>
          </w:r>
          <w:r>
            <w:rPr>
              <w:bCs/>
            </w:rPr>
            <w:fldChar w:fldCharType="end"/>
          </w:r>
        </w:p>
        <w:p>
          <w:pPr>
            <w:pStyle w:val="74"/>
            <w:tabs>
              <w:tab w:val="right" w:leader="dot" w:pos="8306"/>
            </w:tabs>
          </w:pPr>
          <w:r>
            <w:rPr>
              <w:bCs/>
            </w:rPr>
            <w:fldChar w:fldCharType="begin"/>
          </w:r>
          <w:r>
            <w:rPr>
              <w:bCs/>
            </w:rPr>
            <w:instrText xml:space="preserve"> HYPERLINK \l _Toc15026 </w:instrText>
          </w:r>
          <w:r>
            <w:rPr>
              <w:bCs/>
            </w:rPr>
            <w:fldChar w:fldCharType="separate"/>
          </w:r>
          <w:r>
            <w:rPr>
              <w:rFonts w:hint="eastAsia" w:ascii="楷体" w:hAnsi="楷体" w:eastAsia="楷体"/>
              <w:bCs/>
            </w:rPr>
            <w:t>白糖：区间波段式震荡整理，高抛空单继续持有</w:t>
          </w:r>
          <w:r>
            <w:rPr>
              <w:bCs/>
            </w:rPr>
            <w:fldChar w:fldCharType="end"/>
          </w:r>
        </w:p>
        <w:p>
          <w:pPr>
            <w:pStyle w:val="74"/>
            <w:tabs>
              <w:tab w:val="right" w:leader="dot" w:pos="8306"/>
            </w:tabs>
          </w:pPr>
          <w:r>
            <w:rPr>
              <w:bCs/>
            </w:rPr>
            <w:fldChar w:fldCharType="begin"/>
          </w:r>
          <w:r>
            <w:rPr>
              <w:bCs/>
            </w:rPr>
            <w:instrText xml:space="preserve"> HYPERLINK \l _Toc7225 </w:instrText>
          </w:r>
          <w:r>
            <w:rPr>
              <w:bCs/>
            </w:rPr>
            <w:fldChar w:fldCharType="separate"/>
          </w:r>
          <w:r>
            <w:rPr>
              <w:rFonts w:hint="eastAsia" w:ascii="楷体" w:hAnsi="楷体" w:eastAsia="楷体"/>
              <w:bCs/>
            </w:rPr>
            <w:t>棉花：预计郑棉弱势震荡，再次试探14000支撑力度</w:t>
          </w:r>
          <w:r>
            <w:rPr>
              <w:bCs/>
            </w:rPr>
            <w:fldChar w:fldCharType="end"/>
          </w:r>
        </w:p>
        <w:p>
          <w:pPr>
            <w:pStyle w:val="59"/>
            <w:tabs>
              <w:tab w:val="right" w:leader="dot" w:pos="8306"/>
            </w:tabs>
          </w:pPr>
          <w:r>
            <w:rPr>
              <w:bCs/>
            </w:rPr>
            <w:fldChar w:fldCharType="begin"/>
          </w:r>
          <w:r>
            <w:rPr>
              <w:bCs/>
            </w:rPr>
            <w:instrText xml:space="preserve"> HYPERLINK \l _Toc30166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_Toc5912 </w:instrText>
          </w:r>
          <w:r>
            <w:rPr>
              <w:bCs/>
            </w:rPr>
            <w:fldChar w:fldCharType="separate"/>
          </w:r>
          <w:r>
            <w:rPr>
              <w:rFonts w:hint="eastAsia" w:ascii="Times New Roman" w:hAnsi="Times New Roman" w:eastAsia="楷体"/>
              <w:szCs w:val="24"/>
            </w:rPr>
            <w:t>集运指数（欧线）：期市弱势反弹后预计弱震荡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97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745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超跌反弹后维持弱市震荡观点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日央行超预期加息及美国的衰退交易短期或触发全球资本市场异动，对A股市场短期存在一定扰动，筹码方面，市场上的买盘力量 比较单一，缺乏自发性的买盘形成合力，6月中旬以来主要是依靠的是“神秘资金”，超跌反弹后如果市场成交量继续回落至“地量”，则需警惕市场的 再度回调。中期看，A股核心仍在于内部信心的修复，当前基本面预期仍锚定在2024年的阶段，市场向上弹性有限，预计三季度总体将保持弱势震荡格局。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5633"/>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0158"/>
      <w:r>
        <w:rPr>
          <w:rFonts w:hint="eastAsia" w:ascii="Times New Roman" w:hAnsi="Times New Roman" w:eastAsia="楷体"/>
          <w:b/>
          <w:color w:val="000000" w:themeColor="text1"/>
          <w:sz w:val="24"/>
          <w:szCs w:val="24"/>
          <w14:textFill>
            <w14:solidFill>
              <w14:schemeClr w14:val="tx1"/>
            </w14:solidFill>
          </w14:textFill>
        </w:rPr>
        <w:t>贵金属：美国就业降温，贵金属价格小幅回落</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联储议息会议释放鸽派信号，提示9月可能降息，贵金属价格上周周初上涨，尾盘有所回落。上周五夜盘沪金跌1.58%至562.62元/克，上周累计上涨1.39%；沪银跌1.60%至7322元/千克，上周累计上涨1.45%。根据前美联储经济学家名字命名的萨姆规则显示，若失业率当前的三个月移动平均值超过过去12个月中最低的三个月移动平均值0.5个百分点或更多，预示着衰退可能开始。上周五数据显示，美国非农就业数据走弱、失业率上行，7月萨姆规则读数从6月的0.43升至0.53，触发衰退信号，海外市场衰退预期升温。在美国经济面临下行压力的背景下，贵金属的避险价值或持续凸显，利率下调的环境也相对利好贵金属资产表现，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64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9193"/>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碳酸锂：周度产量及开工率下行，期价维持跌势</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大幅下跌，上周五盘初一度触及79600元/吨的新低，尾盘小幅回升，收跌0.92%至81000元/吨，上周累计下跌6.79%。矿石端挺价意愿略微减弱，矿石价格下调。碳酸锂生产企业维持挺价情绪，最新周度开工率小幅下滑，碳酸锂周度产量略微下行。7月31日32177手仓单集中注销后，仓单陆续重新注册，8月2日碳酸锂仓单量回升至26922手。供强需弱环境下期价持续磨底，震荡中枢小幅下移，期价或维持偏弱运行。</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458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宏观引领盘面走势，短期铝价承压运行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西方主流经济体经济数据疲弱，国内PMI数据回落至收缩区间，全球经济衰退逻辑确认，联储对9月降息态度偏鸽，降息落地以前市场宏观情绪依旧以悲观担忧为主线。铝土矿供应紧张价格高位，氧化铝现货报价坚挺，电解铝上游传导出电解铝成本仍有支撑的信号，中游冶炼开产高位，目前国内需求仍在淡季，加工企业市场反馈下半年订单减少较多，金九银十旺季效应待证伪，国内交易所+社会库存铝锭库存累积，铝棒顺畅去库，海外库存保持去库节奏。美联储降息落地前，全球经济衰退逻辑持续运行，宏观情绪预计承压，铝市上游供应紧张但暂未影响中游冶炼开产，电解铝生产供应高位，库存持续累库，短期价格或承压运行，暂看18600-18800下方支撑，中长期对铝用市场消费保持乐观态度，建议短空长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31287"/>
      <w:r>
        <w:rPr>
          <w:rFonts w:hint="eastAsia" w:ascii="楷体" w:hAnsi="楷体" w:eastAsia="楷体"/>
          <w:b/>
          <w:color w:val="000000" w:themeColor="text1"/>
          <w:sz w:val="24"/>
          <w:szCs w:val="24"/>
          <w14:textFill>
            <w14:solidFill>
              <w14:schemeClr w14:val="tx1"/>
            </w14:solidFill>
          </w14:textFill>
        </w:rPr>
        <w:t>锌：价格上下有限，建议高抛低吸</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交易逻辑仍未结束，9月份美联储大概率降息，降息前市场情绪预计偏弱。锌矿TC费率持续低迷，冶炼厂负值利润传导，部分地区检修增加，下游企业淡季加工开工率暂无明显提升，临近旺季消费有边际修复预期，实际旺季是否能够到来仍待证伪，现货市场流通货源偏紧， 库存高位去化，锌价短期反弹有限但下方仍有支撑，建议维持高抛低吸思路。</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8655"/>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：仍有下探压力</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 7月非农新增11.4万人，不及市场预期的17.5万人，而且前月数据再现下修。6月非农新增数据从初值的20.6万人下修至17.9万人，5月数据从21.8万人再度下修至21.6万人，合计下修2.9万人。失业率反弹至4.3%，前值4.1%。</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(2)库存：8月2日，SHFE仓单库存201848吨，日减2249吨；SHFE周库存295141吨，较上周五减6062吨；LME仓单库存246500吨，日增1350吨。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(3)精废价差：8月2日，Mysteel精废价差2388，扩张209。目前价差在合理价差1433之上。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综述：短期价格驱动仍来自于宏观层面，周五非农数据使得市场再次转为衰退交易。国内经济复苏疲弱，ZZJ会议释放政策端利好信号，关注政策预期交易的持续性。基本面， LME库存继续明显累增，整体精炼铜供应仍偏宽松，现货维持贴水状态，短期铜价反弹动力仍有限，偏弱运行为主。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174"/>
      <w:r>
        <w:rPr>
          <w:rFonts w:hint="eastAsia" w:ascii="楷体" w:hAnsi="楷体" w:eastAsia="楷体"/>
          <w:b/>
          <w:color w:val="000000" w:themeColor="text1"/>
          <w:sz w:val="24"/>
          <w:szCs w:val="24"/>
          <w14:textFill>
            <w14:solidFill>
              <w14:schemeClr w14:val="tx1"/>
            </w14:solidFill>
          </w14:textFill>
        </w:rPr>
        <w:t>镍：衰退预期再起，镍价或偏弱运行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中美制造业数据走弱，市场或再度转向经济衰退预期定价，施压有色板块。镍矿方面，印尼及菲律宾雨季恶劣天气使镍矿供应继续受阻，目前镍矿价格仍然坚挺。硫酸镍方面，维持供需双弱情况，成本支撑下硫酸镍价格弱稳为主。据Mytseel数据，高冰镍一体化生产精炼镍工艺的生产成本为128003元/吨。供需方面，随着内外价差收窄，国内电积镍现货增加，国内社库转向累库，此前去库对镍价的支撑减弱。综合而言，镍基本面延续过剩及经济衰退预期对镍价形成压力，不过考虑到镍矿现货供应仍偏紧，镍价从高冰镍一体化成本支撑线继续深跌动能或有限，短期镍价或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8512"/>
      <w:r>
        <w:rPr>
          <w:rFonts w:hint="eastAsia" w:ascii="楷体" w:hAnsi="楷体" w:eastAsia="楷体"/>
          <w:b/>
          <w:color w:val="000000" w:themeColor="text1"/>
          <w:sz w:val="24"/>
          <w:szCs w:val="24"/>
          <w14:textFill>
            <w14:solidFill>
              <w14:schemeClr w14:val="tx1"/>
            </w14:solidFill>
          </w14:textFill>
        </w:rPr>
        <w:t>不锈钢：原料支撑显现，但供需压力制约上行空间</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及菲律宾雨季恶劣天气使镍矿供应继续受阻，目前镍矿价格仍坚挺。镍铁方面，受镍矿影响，国内镍铁供应偏紧，而下游不锈钢厂排产高位，近日高镍铁成交价格处于1000元/镍上方。供需方面，不锈钢厂对消费旺季抱以期待，8月不锈钢粗钢排产提升至332.56万吨，月环比增加3.8%，同比增加2.2%，观察后续高产量能否被旺季需求所消化。综合而言，镍矿及镍铁供需偏紧，支撑不锈钢价格，社会库存及仓单库存下降也带来边际提振，但供需压力持续制约价格上方空间，短期不锈钢主力价格或在13600-14500区间震荡为主，后市行情关键在于印尼镍矿供应恢复情况及旺季需求兑现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39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暂无明显单边驱动，短期或延续震荡</w:t>
      </w:r>
      <w:bookmarkEnd w:id="25"/>
    </w:p>
    <w:p>
      <w:pPr>
        <w:ind w:left="630" w:leftChars="300"/>
        <w:rPr>
          <w:rFonts w:hint="eastAsia" w:ascii="楷体" w:hAnsi="楷体" w:eastAsia="楷体"/>
          <w:sz w:val="24"/>
          <w:szCs w:val="24"/>
        </w:rPr>
      </w:pPr>
      <w:r>
        <w:rPr>
          <w:rFonts w:hint="eastAsia" w:ascii="楷体" w:hAnsi="楷体" w:eastAsia="楷体"/>
          <w:sz w:val="24"/>
          <w:szCs w:val="24"/>
        </w:rPr>
        <w:t>8月2日，Si2409主力合约有所反弹，收盘价10410元/吨，较上一收盘价涨跌幅+0.19%。盘面已跌破较多工厂生产成本线，供应边际有所收缩，短期盘面或有一定支撑，但主产区开工整体依旧维持高位，</w:t>
      </w:r>
    </w:p>
    <w:p>
      <w:pPr>
        <w:ind w:left="630" w:leftChars="300"/>
        <w:rPr>
          <w:rFonts w:ascii="楷体" w:hAnsi="楷体" w:eastAsia="楷体"/>
          <w:sz w:val="24"/>
          <w:szCs w:val="24"/>
        </w:rPr>
      </w:pPr>
      <w:r>
        <w:rPr>
          <w:rFonts w:hint="eastAsia" w:ascii="楷体" w:hAnsi="楷体" w:eastAsia="楷体"/>
          <w:sz w:val="24"/>
          <w:szCs w:val="24"/>
        </w:rPr>
        <w:t>叠加后续或存在新增产能投放预期不改，在需求疲软情况下，宽松格局较难迎来扭转，对盘面大幅反弹也存在压制。综合而言，市场暂无明显单边驱动，预计短期盘面或延续震荡运行，参考区间（10000，10600）。策略上，维持波段操作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169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179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成本端企稳 胶价有所回暖</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然橡胶主力合约震荡反弹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7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4811"/>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2468"/>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厂家利润较低下行空间不大，期货市场或保持弱震荡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昨夜盘主力合约2409窄幅震荡，收于1419元/吨。</w:t>
      </w:r>
    </w:p>
    <w:p>
      <w:pPr>
        <w:ind w:left="630" w:leftChars="300"/>
        <w:rPr>
          <w:rFonts w:hint="eastAsia" w:ascii="楷体" w:hAnsi="楷体" w:eastAsia="楷体"/>
          <w:sz w:val="24"/>
          <w:szCs w:val="24"/>
        </w:rPr>
      </w:pPr>
      <w:r>
        <w:rPr>
          <w:rFonts w:hint="eastAsia" w:ascii="楷体" w:hAnsi="楷体" w:eastAsia="楷体"/>
          <w:sz w:val="24"/>
          <w:szCs w:val="24"/>
        </w:rPr>
        <w:t>现货方面，浮法玻璃华北玻璃大板跌低位至1430元/吨、河北沙河大板现货降至1340元/吨，稳步下行。库存方面，玻璃在产企业总库存为6513.56万重量箱，环比上周上升155.26万重量箱。</w:t>
      </w:r>
    </w:p>
    <w:p>
      <w:pPr>
        <w:ind w:left="630" w:leftChars="300"/>
        <w:rPr>
          <w:rFonts w:hint="eastAsia" w:ascii="楷体" w:hAnsi="楷体" w:eastAsia="楷体"/>
          <w:sz w:val="24"/>
          <w:szCs w:val="24"/>
        </w:rPr>
      </w:pPr>
      <w:r>
        <w:rPr>
          <w:rFonts w:hint="eastAsia" w:ascii="楷体" w:hAnsi="楷体" w:eastAsia="楷体"/>
          <w:sz w:val="24"/>
          <w:szCs w:val="24"/>
        </w:rPr>
        <w:t>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总体来看，目前市场情绪较弱，许多厂家以低于成本的价格出货。下游需求不足且处于累库阶段，预计短期玻璃将于1350上方弱势震荡，建议观望。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31227"/>
      <w:r>
        <w:rPr>
          <w:rFonts w:hint="eastAsia" w:ascii="Times New Roman" w:hAnsi="Times New Roman" w:eastAsia="楷体"/>
          <w:b/>
          <w:color w:val="000000" w:themeColor="text1"/>
          <w:sz w:val="24"/>
          <w:szCs w:val="24"/>
          <w14:textFill>
            <w14:solidFill>
              <w14:schemeClr w14:val="tx1"/>
            </w14:solidFill>
          </w14:textFill>
        </w:rPr>
        <w:t>纯碱：现货下跌保持疲弱，短期或仍存下探空间</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昨夜盘主力合约弱势盘整收盘于1869元/吨。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本周纯碱行业开工约84.9%，环比下跌1.36%。在需求端，玻璃行业等主要下游市场的需求呈现疲软态势。特别是轻碱市场需求明显下滑，出货难度增加。另外楼市尚未出现明显回暖，各线城市房价仍处于环比下降。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4416"/>
      <w:r>
        <w:rPr>
          <w:rFonts w:hint="eastAsia" w:ascii="Times New Roman" w:hAnsi="Times New Roman" w:eastAsia="楷体"/>
          <w:b/>
          <w:color w:val="000000" w:themeColor="text1"/>
          <w:sz w:val="24"/>
          <w:szCs w:val="24"/>
          <w14:textFill>
            <w14:solidFill>
              <w14:schemeClr w14:val="tx1"/>
            </w14:solidFill>
          </w14:textFill>
        </w:rPr>
        <w:t>PTA：跟随成本期价震荡偏强</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成本端原油及PX方面，原油接近本轮反弹高点，随着地缘冲突缓和及基本面支撑拐点，原油向下概率较大。随着PX集中检修结束，85%的高位开工下现货供应宽松走势承压。本周PTA装置基本上没变动，至周四PTA负荷维持在79.7%（+1.3%）。本周一套聚酯装置例行检修，另一套检修开启，此外短纤装置近期减产有所增多。截至本周四，初步核算国内大陆地区聚酯负荷在85.7%（-0.6%）附近，聚酯负荷小幅回落。综合来看，装置检修回归且后期PTA检修计划偏少，阶段性下游订单不足，涤丝工厂库存压力较大，高温天气下游开工恢复缓慢，供需偏累库。但终端需求韧性尚可，短线跟随成本期价震荡偏强。</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9323"/>
      <w:r>
        <w:rPr>
          <w:rFonts w:hint="eastAsia" w:ascii="Times New Roman" w:hAnsi="Times New Roman" w:eastAsia="楷体"/>
          <w:b/>
          <w:color w:val="000000" w:themeColor="text1"/>
          <w:sz w:val="24"/>
          <w:szCs w:val="24"/>
          <w14:textFill>
            <w14:solidFill>
              <w14:schemeClr w14:val="tx1"/>
            </w14:solidFill>
          </w14:textFill>
        </w:rPr>
        <w:t>乙二醇：供需去库 期价震荡偏强</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7.29华东主港地区MEG港口库存约59.3万吨附近，环比上期下降4.2万吨。近期乙二醇主港到货依旧偏少，显性库存持续去化。截至8月1日，中国大陆地区乙二醇整体开工负荷在63.35%（-1.07%），其中草酸催化加氢法（合成气）制乙二醇开工负荷在60.27%（-7.9%）。截至8月1日，国内大陆地区聚酯负荷在85.7%（-0.6%）附近，聚酯负荷开工小幅下滑。终端来看，江浙终端开工低位维持，截止8.1江浙下游加弹、织造、印染负荷分别在78%（+2%）、64%（-1%）、69%(-1%)。综合来看，兖矿、沃能检修落实，广汇推迟重启、美锦降负乙二醇开工率将明显下降。预估三季度到港偏少维持供需偏紧格局，短期期价震荡偏强，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1115"/>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1509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期价弱势未改</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当前期价结构呈现V型结构，即旧作合约逐步贴水，但新作合约转向升水，其反映市场两个方面的预期，其一是市场对新作供需预期偏乐观，应该更多源于需求特别饲用需求恢复/改善的预期；其二是市场对新作上市压力预期较为强烈，这源于旧作产需缺口迟迟未能体现，市场主体特别是囤粮贸易商新作上市之前需要库存去化，在新作上市之初大概率缺乏补库动力。在这种情况下，接下来重点关注市场降库存背景之下会否出现新旧作供应衔接的问题。综上所述，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中，行业供需继续趋于偏空，因行业库存持续累积；原料成本存在变数，因华北与东北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0939"/>
      <w:r>
        <w:rPr>
          <w:rFonts w:hint="eastAsia" w:ascii="楷体" w:hAnsi="楷体" w:eastAsia="楷体"/>
          <w:b/>
          <w:bCs/>
          <w:color w:val="000000" w:themeColor="text1"/>
          <w14:textFill>
            <w14:solidFill>
              <w14:schemeClr w14:val="tx1"/>
            </w14:solidFill>
          </w14:textFill>
        </w:rPr>
        <w:t>畜禽养殖：现货带动近月期价上涨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5026"/>
      <w:r>
        <w:rPr>
          <w:rFonts w:hint="eastAsia" w:ascii="楷体" w:hAnsi="楷体" w:eastAsia="楷体"/>
          <w:b/>
          <w:bCs/>
          <w:color w:val="000000" w:themeColor="text1"/>
          <w14:textFill>
            <w14:solidFill>
              <w14:schemeClr w14:val="tx1"/>
            </w14:solidFill>
          </w14:textFill>
        </w:rPr>
        <w:t>白糖：区间波段式震荡整理，高抛空单继续持有</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纽约原糖主力合约和伦敦白砂糖主力合约分别下跌2.15%和1.62%。巴西航运机构Williams发布的数据显示，截至7月31日当周，巴西港口等待装运食糖的船只数量为111艘，此前一周为101艘。港口等待装运的食糖数量为496.69万吨，此前一周为463.89万吨。国内隔周夜盘，白糖09主力合约跌0.52%。在传统旺季的刚需驱使下，终端采购积极性增强，去库存进程加快，库存压力减轻，期价存在一定支撑，预计整体仍是区间震荡。但新季存在丰产预期，触及区间上沿后缺乏进一步走高动能，掉头回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7225"/>
      <w:r>
        <w:rPr>
          <w:rFonts w:hint="eastAsia" w:ascii="楷体" w:hAnsi="楷体" w:eastAsia="楷体"/>
          <w:b/>
          <w:bCs/>
          <w:color w:val="000000" w:themeColor="text1"/>
          <w14:textFill>
            <w14:solidFill>
              <w14:schemeClr w14:val="tx1"/>
            </w14:solidFill>
          </w14:textFill>
        </w:rPr>
        <w:t>棉花：预计郑棉弱势震荡，再次试探14000支撑力度</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夜盘ICE美棉主力上涨0.43%。据美国农业部（USDA），7.19-7.25日一周美国2023/24年度陆地棉净签约-246256吨（含签约3719吨，取消前期签约249975吨）。装运陆地棉29460吨，较前一周减少1%，较近四周平均减少11%。净签约本年度皮马棉0吨；装运皮马棉1043吨，较前一周增加100%。本周签约新年度陆地棉307468吨，签约新年度皮马棉1021吨。当周中国对本年度陆地棉净签约量-135466吨（含新签约544吨，取消前期签约136010吨）；装运6328吨，较前一周减少14%。周内未签约皮马棉，装运皮马棉23吨。另签约新年度陆地棉147440吨。最新一期出口报告中，美棉被大量的取消签约。受此影响，ICE期棉恐无力收复70美分/磅的关口，继续低位整理。国内，隔周夜盘，郑棉2309主力合约持平。滑准税配额的数量不及预期，供应端压力减轻，但市场悲观情绪仍存，“旺季不旺”预期占据上风，主力空头资金也较为强势。因此，尽管政策的公布显著利好，但郑棉反弹依然显得后劲不足，不排除后期继续走弱可能。</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30166"/>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5912"/>
      <w:r>
        <w:rPr>
          <w:rFonts w:hint="eastAsia" w:ascii="Times New Roman" w:hAnsi="Times New Roman" w:eastAsia="楷体"/>
          <w:b/>
          <w:color w:val="000000" w:themeColor="text1"/>
          <w:sz w:val="24"/>
          <w:szCs w:val="24"/>
          <w14:textFill>
            <w14:solidFill>
              <w14:schemeClr w14:val="tx1"/>
            </w14:solidFill>
          </w14:textFill>
        </w:rPr>
        <w:t>集运指数（欧线）：期市弱势反弹后预计弱震荡</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15日，SCFIS欧线指数环比上涨10.5%至6002.23点。7月19日，上海港出口至欧洲基本港市场运价（海运及海运附加费）为3542.44美元/TEU，较上期回落3.6%，再次下跌。短期内运输需求继续维持在高位，但由于中欧贸易面临政策不确定性的考验，即期市场订舱价格小幅回落。</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地缘方面，巴勒斯坦法塔赫和哈马斯在京谈判达成《北京宣言》以两国方案为基础，但整体对市场刺激不算太大。</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需求端来看，据研究机构ZEW发布的数据显示，欧元区7月ZEW经济景气指数为43.7，低于前值及市场预期。其中，德国7月ZEW经济景气指数降至 41.8，是四个月以来的最低水平，显示出欧洲经济复苏的前景并不稳固。</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总体来看，由于SCFI指数连续回落期市连续下行，短期有所反弹但不宜过于乐观，留意短期风险，建议投资者谨慎操作。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98426751"/>
      <w:bookmarkStart w:id="42" w:name="_Toc19667"/>
      <w:bookmarkStart w:id="43" w:name="_Toc71212556"/>
      <w:bookmarkStart w:id="44" w:name="_Toc12779"/>
      <w:bookmarkStart w:id="45" w:name="_Toc72481108"/>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2024年8月5日星期一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8C3343"/>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2024-08-05T01:45:40Z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