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CB96E">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14:paraId="28C82DB1">
      <w:pPr>
        <w:jc w:val="right"/>
        <w:rPr>
          <w:rFonts w:ascii="Times New Roman" w:hAnsi="Times New Roman" w:eastAsia="楷体" w:cs="Times New Roman"/>
          <w:b/>
          <w:color w:val="823C0B"/>
          <w:sz w:val="24"/>
        </w:rPr>
      </w:pPr>
    </w:p>
    <w:p w14:paraId="469BF174">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14:paraId="5034FD05">
      <w:pPr>
        <w:jc w:val="center"/>
        <w:rPr>
          <w:rFonts w:ascii="Times New Roman" w:hAnsi="Times New Roman" w:eastAsia="楷体"/>
          <w:b/>
          <w:color w:val="823C0B"/>
          <w:sz w:val="30"/>
          <w:szCs w:val="30"/>
        </w:rPr>
      </w:pPr>
    </w:p>
    <w:p w14:paraId="582A0E3B">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14:paraId="288B6174">
          <w:pPr>
            <w:pStyle w:val="17"/>
            <w:rPr>
              <w:b/>
              <w:bCs/>
            </w:rPr>
          </w:pPr>
          <w:bookmarkStart w:id="47" w:name="_GoBack"/>
          <w:bookmarkEnd w:id="47"/>
        </w:p>
        <w:p w14:paraId="51581426">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_Toc6321 </w:instrText>
          </w:r>
          <w:r>
            <w:rPr>
              <w:bCs/>
            </w:rPr>
            <w:fldChar w:fldCharType="separate"/>
          </w:r>
          <w:r>
            <w:rPr>
              <w:rFonts w:hint="eastAsia" w:ascii="Times New Roman" w:hAnsi="Times New Roman" w:eastAsia="楷体"/>
              <w:szCs w:val="30"/>
            </w:rPr>
            <w:t>[金融]</w:t>
          </w:r>
          <w:r>
            <w:rPr>
              <w:bCs/>
            </w:rPr>
            <w:fldChar w:fldCharType="end"/>
          </w:r>
        </w:p>
        <w:p w14:paraId="44519B81">
          <w:pPr>
            <w:pStyle w:val="6"/>
            <w:tabs>
              <w:tab w:val="right" w:leader="dot" w:pos="8306"/>
            </w:tabs>
          </w:pPr>
          <w:r>
            <w:rPr>
              <w:bCs/>
            </w:rPr>
            <w:fldChar w:fldCharType="begin"/>
          </w:r>
          <w:r>
            <w:rPr>
              <w:bCs/>
            </w:rPr>
            <w:instrText xml:space="preserve"> HYPERLINK \l _Toc14253 </w:instrText>
          </w:r>
          <w:r>
            <w:rPr>
              <w:bCs/>
            </w:rPr>
            <w:fldChar w:fldCharType="separate"/>
          </w:r>
          <w:r>
            <w:rPr>
              <w:rFonts w:hint="eastAsia" w:ascii="Times New Roman" w:hAnsi="Times New Roman" w:eastAsia="楷体"/>
              <w:szCs w:val="24"/>
            </w:rPr>
            <w:t>股指：超跌反弹后维持弱市震荡观点</w:t>
          </w:r>
          <w:r>
            <w:rPr>
              <w:bCs/>
            </w:rPr>
            <w:fldChar w:fldCharType="end"/>
          </w:r>
        </w:p>
        <w:p w14:paraId="3EB57B71">
          <w:pPr>
            <w:pStyle w:val="5"/>
            <w:tabs>
              <w:tab w:val="right" w:leader="dot" w:pos="8306"/>
            </w:tabs>
          </w:pPr>
          <w:r>
            <w:rPr>
              <w:bCs/>
            </w:rPr>
            <w:fldChar w:fldCharType="begin"/>
          </w:r>
          <w:r>
            <w:rPr>
              <w:bCs/>
            </w:rPr>
            <w:instrText xml:space="preserve"> HYPERLINK \l _Toc19935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指数</w:t>
          </w:r>
          <w:r>
            <w:rPr>
              <w:rFonts w:hint="eastAsia" w:ascii="Times New Roman" w:hAnsi="Times New Roman" w:eastAsia="楷体"/>
              <w:szCs w:val="30"/>
            </w:rPr>
            <w:t>]</w:t>
          </w:r>
          <w:r>
            <w:rPr>
              <w:bCs/>
            </w:rPr>
            <w:fldChar w:fldCharType="end"/>
          </w:r>
        </w:p>
        <w:p w14:paraId="10952CEC">
          <w:pPr>
            <w:pStyle w:val="6"/>
            <w:tabs>
              <w:tab w:val="right" w:leader="dot" w:pos="8306"/>
            </w:tabs>
          </w:pPr>
          <w:r>
            <w:rPr>
              <w:bCs/>
            </w:rPr>
            <w:fldChar w:fldCharType="begin"/>
          </w:r>
          <w:r>
            <w:rPr>
              <w:bCs/>
            </w:rPr>
            <w:instrText xml:space="preserve"> HYPERLINK \l _Toc12174 </w:instrText>
          </w:r>
          <w:r>
            <w:rPr>
              <w:bCs/>
            </w:rPr>
            <w:fldChar w:fldCharType="separate"/>
          </w:r>
          <w:r>
            <w:rPr>
              <w:rFonts w:hint="eastAsia" w:ascii="Times New Roman" w:hAnsi="Times New Roman" w:eastAsia="楷体"/>
              <w:szCs w:val="24"/>
            </w:rPr>
            <w:t>集运指数：短暂反弹后回归较弱情绪，注意短期风险</w:t>
          </w:r>
          <w:r>
            <w:rPr>
              <w:bCs/>
            </w:rPr>
            <w:fldChar w:fldCharType="end"/>
          </w:r>
        </w:p>
        <w:p w14:paraId="57C6962C">
          <w:pPr>
            <w:pStyle w:val="5"/>
            <w:tabs>
              <w:tab w:val="right" w:leader="dot" w:pos="8306"/>
            </w:tabs>
          </w:pPr>
          <w:r>
            <w:rPr>
              <w:bCs/>
            </w:rPr>
            <w:fldChar w:fldCharType="begin"/>
          </w:r>
          <w:r>
            <w:rPr>
              <w:bCs/>
            </w:rPr>
            <w:instrText xml:space="preserve"> HYPERLINK \l _Toc25761 </w:instrText>
          </w:r>
          <w:r>
            <w:rPr>
              <w:bCs/>
            </w:rPr>
            <w:fldChar w:fldCharType="separate"/>
          </w:r>
          <w:r>
            <w:rPr>
              <w:rFonts w:hint="eastAsia" w:ascii="Times New Roman" w:hAnsi="Times New Roman" w:eastAsia="楷体"/>
              <w:szCs w:val="30"/>
            </w:rPr>
            <w:t>[贵金属]</w:t>
          </w:r>
          <w:r>
            <w:rPr>
              <w:bCs/>
            </w:rPr>
            <w:fldChar w:fldCharType="end"/>
          </w:r>
        </w:p>
        <w:p w14:paraId="7B949351">
          <w:pPr>
            <w:pStyle w:val="6"/>
            <w:tabs>
              <w:tab w:val="right" w:leader="dot" w:pos="8306"/>
            </w:tabs>
          </w:pPr>
          <w:r>
            <w:rPr>
              <w:bCs/>
            </w:rPr>
            <w:fldChar w:fldCharType="begin"/>
          </w:r>
          <w:r>
            <w:rPr>
              <w:bCs/>
            </w:rPr>
            <w:instrText xml:space="preserve"> HYPERLINK \l _Toc8755 </w:instrText>
          </w:r>
          <w:r>
            <w:rPr>
              <w:bCs/>
            </w:rPr>
            <w:fldChar w:fldCharType="separate"/>
          </w:r>
          <w:r>
            <w:rPr>
              <w:rFonts w:hint="eastAsia" w:ascii="Times New Roman" w:hAnsi="Times New Roman" w:eastAsia="楷体"/>
              <w:szCs w:val="24"/>
            </w:rPr>
            <w:t>贵金属：美联储提示9月可能降息，贵金属价格反弹</w:t>
          </w:r>
          <w:r>
            <w:rPr>
              <w:bCs/>
            </w:rPr>
            <w:fldChar w:fldCharType="end"/>
          </w:r>
        </w:p>
        <w:p w14:paraId="64C42BC7">
          <w:pPr>
            <w:pStyle w:val="5"/>
            <w:tabs>
              <w:tab w:val="right" w:leader="dot" w:pos="8306"/>
            </w:tabs>
          </w:pPr>
          <w:r>
            <w:rPr>
              <w:bCs/>
            </w:rPr>
            <w:fldChar w:fldCharType="begin"/>
          </w:r>
          <w:r>
            <w:rPr>
              <w:bCs/>
            </w:rPr>
            <w:instrText xml:space="preserve"> HYPERLINK \l _Toc20871 </w:instrText>
          </w:r>
          <w:r>
            <w:rPr>
              <w:bCs/>
            </w:rPr>
            <w:fldChar w:fldCharType="separate"/>
          </w:r>
          <w:r>
            <w:rPr>
              <w:rFonts w:hint="eastAsia" w:ascii="Times New Roman" w:hAnsi="Times New Roman" w:eastAsia="楷体"/>
              <w:szCs w:val="30"/>
            </w:rPr>
            <w:t>[金属]</w:t>
          </w:r>
          <w:r>
            <w:rPr>
              <w:bCs/>
            </w:rPr>
            <w:fldChar w:fldCharType="end"/>
          </w:r>
        </w:p>
        <w:p w14:paraId="4EDD9DB5">
          <w:pPr>
            <w:pStyle w:val="6"/>
            <w:tabs>
              <w:tab w:val="right" w:leader="dot" w:pos="8306"/>
            </w:tabs>
          </w:pPr>
          <w:r>
            <w:rPr>
              <w:bCs/>
            </w:rPr>
            <w:fldChar w:fldCharType="begin"/>
          </w:r>
          <w:r>
            <w:rPr>
              <w:bCs/>
            </w:rPr>
            <w:instrText xml:space="preserve"> HYPERLINK \l _Toc20510 </w:instrText>
          </w:r>
          <w:r>
            <w:rPr>
              <w:bCs/>
            </w:rPr>
            <w:fldChar w:fldCharType="separate"/>
          </w:r>
          <w:r>
            <w:rPr>
              <w:rFonts w:hint="eastAsia" w:ascii="楷体" w:hAnsi="楷体" w:eastAsia="楷体"/>
              <w:szCs w:val="24"/>
            </w:rPr>
            <w:t>碳酸锂：仓单集中注销，期价小幅反弹</w:t>
          </w:r>
          <w:r>
            <w:rPr>
              <w:bCs/>
            </w:rPr>
            <w:fldChar w:fldCharType="end"/>
          </w:r>
        </w:p>
        <w:p w14:paraId="3D4B569B">
          <w:pPr>
            <w:pStyle w:val="6"/>
            <w:tabs>
              <w:tab w:val="right" w:leader="dot" w:pos="8306"/>
            </w:tabs>
          </w:pPr>
          <w:r>
            <w:rPr>
              <w:bCs/>
            </w:rPr>
            <w:fldChar w:fldCharType="begin"/>
          </w:r>
          <w:r>
            <w:rPr>
              <w:bCs/>
            </w:rPr>
            <w:instrText xml:space="preserve"> HYPERLINK \l _Toc8334 </w:instrText>
          </w:r>
          <w:r>
            <w:rPr>
              <w:bCs/>
            </w:rPr>
            <w:fldChar w:fldCharType="separate"/>
          </w:r>
          <w:r>
            <w:rPr>
              <w:rFonts w:hint="eastAsia" w:ascii="楷体" w:hAnsi="楷体" w:eastAsia="楷体"/>
              <w:szCs w:val="24"/>
            </w:rPr>
            <w:t>铜：反弹力度或有限，关注明晚非农数据</w:t>
          </w:r>
          <w:r>
            <w:rPr>
              <w:bCs/>
            </w:rPr>
            <w:fldChar w:fldCharType="end"/>
          </w:r>
        </w:p>
        <w:p w14:paraId="7EFD67B5">
          <w:pPr>
            <w:pStyle w:val="6"/>
            <w:tabs>
              <w:tab w:val="right" w:leader="dot" w:pos="8306"/>
            </w:tabs>
          </w:pPr>
          <w:r>
            <w:rPr>
              <w:bCs/>
            </w:rPr>
            <w:fldChar w:fldCharType="begin"/>
          </w:r>
          <w:r>
            <w:rPr>
              <w:bCs/>
            </w:rPr>
            <w:instrText xml:space="preserve"> HYPERLINK \l _Toc13521 </w:instrText>
          </w:r>
          <w:r>
            <w:rPr>
              <w:bCs/>
            </w:rPr>
            <w:fldChar w:fldCharType="separate"/>
          </w:r>
          <w:r>
            <w:rPr>
              <w:rFonts w:hint="eastAsia" w:ascii="楷体" w:hAnsi="楷体" w:eastAsia="楷体"/>
              <w:szCs w:val="24"/>
            </w:rPr>
            <w:t>铝：宏观情绪扰动，反弹高度值得关注</w:t>
          </w:r>
          <w:r>
            <w:rPr>
              <w:bCs/>
            </w:rPr>
            <w:fldChar w:fldCharType="end"/>
          </w:r>
        </w:p>
        <w:p w14:paraId="24489607">
          <w:pPr>
            <w:pStyle w:val="6"/>
            <w:tabs>
              <w:tab w:val="right" w:leader="dot" w:pos="8306"/>
            </w:tabs>
          </w:pPr>
          <w:r>
            <w:rPr>
              <w:bCs/>
            </w:rPr>
            <w:fldChar w:fldCharType="begin"/>
          </w:r>
          <w:r>
            <w:rPr>
              <w:bCs/>
            </w:rPr>
            <w:instrText xml:space="preserve"> HYPERLINK \l _Toc26820 </w:instrText>
          </w:r>
          <w:r>
            <w:rPr>
              <w:bCs/>
            </w:rPr>
            <w:fldChar w:fldCharType="separate"/>
          </w:r>
          <w:r>
            <w:rPr>
              <w:rFonts w:hint="eastAsia" w:ascii="楷体" w:hAnsi="楷体" w:eastAsia="楷体"/>
              <w:szCs w:val="24"/>
            </w:rPr>
            <w:t>锌：市场情绪回暖带动锌价反弹</w:t>
          </w:r>
          <w:r>
            <w:rPr>
              <w:bCs/>
            </w:rPr>
            <w:fldChar w:fldCharType="end"/>
          </w:r>
        </w:p>
        <w:p w14:paraId="3C02F5CA">
          <w:pPr>
            <w:pStyle w:val="6"/>
            <w:tabs>
              <w:tab w:val="right" w:leader="dot" w:pos="8306"/>
            </w:tabs>
          </w:pPr>
          <w:r>
            <w:rPr>
              <w:bCs/>
            </w:rPr>
            <w:fldChar w:fldCharType="begin"/>
          </w:r>
          <w:r>
            <w:rPr>
              <w:bCs/>
            </w:rPr>
            <w:instrText xml:space="preserve"> HYPERLINK \l _Toc13929 </w:instrText>
          </w:r>
          <w:r>
            <w:rPr>
              <w:bCs/>
            </w:rPr>
            <w:fldChar w:fldCharType="separate"/>
          </w:r>
          <w:r>
            <w:rPr>
              <w:rFonts w:hint="eastAsia" w:ascii="楷体" w:hAnsi="楷体" w:eastAsia="楷体"/>
              <w:szCs w:val="24"/>
            </w:rPr>
            <w:t>镍：低位震荡，跟随宏观运行</w:t>
          </w:r>
          <w:r>
            <w:rPr>
              <w:bCs/>
            </w:rPr>
            <w:fldChar w:fldCharType="end"/>
          </w:r>
        </w:p>
        <w:p w14:paraId="1FF8B77C">
          <w:pPr>
            <w:pStyle w:val="6"/>
            <w:tabs>
              <w:tab w:val="right" w:leader="dot" w:pos="8306"/>
            </w:tabs>
          </w:pPr>
          <w:r>
            <w:rPr>
              <w:bCs/>
            </w:rPr>
            <w:fldChar w:fldCharType="begin"/>
          </w:r>
          <w:r>
            <w:rPr>
              <w:bCs/>
            </w:rPr>
            <w:instrText xml:space="preserve"> HYPERLINK \l _Toc7661 </w:instrText>
          </w:r>
          <w:r>
            <w:rPr>
              <w:bCs/>
            </w:rPr>
            <w:fldChar w:fldCharType="separate"/>
          </w:r>
          <w:r>
            <w:rPr>
              <w:rFonts w:hint="eastAsia" w:ascii="楷体" w:hAnsi="楷体" w:eastAsia="楷体"/>
              <w:szCs w:val="24"/>
            </w:rPr>
            <w:t>不锈钢：镍铁价格坚挺，带来较强成本支撑</w:t>
          </w:r>
          <w:r>
            <w:rPr>
              <w:bCs/>
            </w:rPr>
            <w:fldChar w:fldCharType="end"/>
          </w:r>
        </w:p>
        <w:p w14:paraId="161D16E5">
          <w:pPr>
            <w:pStyle w:val="6"/>
            <w:tabs>
              <w:tab w:val="right" w:leader="dot" w:pos="8306"/>
            </w:tabs>
          </w:pPr>
          <w:r>
            <w:rPr>
              <w:bCs/>
            </w:rPr>
            <w:fldChar w:fldCharType="begin"/>
          </w:r>
          <w:r>
            <w:rPr>
              <w:bCs/>
            </w:rPr>
            <w:instrText xml:space="preserve"> HYPERLINK \l _Toc3892 </w:instrText>
          </w:r>
          <w:r>
            <w:rPr>
              <w:bCs/>
            </w:rPr>
            <w:fldChar w:fldCharType="separate"/>
          </w:r>
          <w:r>
            <w:rPr>
              <w:rFonts w:hint="eastAsia" w:ascii="楷体" w:hAnsi="楷体" w:eastAsia="楷体"/>
              <w:szCs w:val="24"/>
            </w:rPr>
            <w:t>工业硅：宏观情绪有所提振，短期以震荡对待</w:t>
          </w:r>
          <w:r>
            <w:rPr>
              <w:bCs/>
            </w:rPr>
            <w:fldChar w:fldCharType="end"/>
          </w:r>
        </w:p>
        <w:p w14:paraId="5281697F">
          <w:pPr>
            <w:pStyle w:val="5"/>
            <w:tabs>
              <w:tab w:val="right" w:leader="dot" w:pos="8306"/>
            </w:tabs>
          </w:pPr>
          <w:r>
            <w:rPr>
              <w:bCs/>
            </w:rPr>
            <w:fldChar w:fldCharType="begin"/>
          </w:r>
          <w:r>
            <w:rPr>
              <w:bCs/>
            </w:rPr>
            <w:instrText xml:space="preserve"> HYPERLINK \l _Toc14424 </w:instrText>
          </w:r>
          <w:r>
            <w:rPr>
              <w:bCs/>
            </w:rPr>
            <w:fldChar w:fldCharType="separate"/>
          </w:r>
          <w:r>
            <w:rPr>
              <w:rFonts w:hint="eastAsia" w:ascii="Times New Roman" w:hAnsi="Times New Roman" w:eastAsia="楷体"/>
              <w:szCs w:val="30"/>
            </w:rPr>
            <w:t>[化工]</w:t>
          </w:r>
          <w:r>
            <w:rPr>
              <w:bCs/>
            </w:rPr>
            <w:fldChar w:fldCharType="end"/>
          </w:r>
        </w:p>
        <w:p w14:paraId="7F8BF373">
          <w:pPr>
            <w:pStyle w:val="6"/>
            <w:tabs>
              <w:tab w:val="right" w:leader="dot" w:pos="8306"/>
            </w:tabs>
          </w:pPr>
          <w:r>
            <w:rPr>
              <w:bCs/>
            </w:rPr>
            <w:fldChar w:fldCharType="begin"/>
          </w:r>
          <w:r>
            <w:rPr>
              <w:bCs/>
            </w:rPr>
            <w:instrText xml:space="preserve"> HYPERLINK \l _Toc10419 </w:instrText>
          </w:r>
          <w:r>
            <w:rPr>
              <w:bCs/>
            </w:rPr>
            <w:fldChar w:fldCharType="separate"/>
          </w:r>
          <w:r>
            <w:rPr>
              <w:rFonts w:hint="eastAsia" w:ascii="Times New Roman" w:hAnsi="Times New Roman" w:eastAsia="楷体"/>
              <w:szCs w:val="24"/>
            </w:rPr>
            <w:t>天然橡胶:</w:t>
          </w:r>
          <w:r>
            <w:rPr>
              <w:rFonts w:hint="eastAsia" w:ascii="楷体" w:hAnsi="楷体" w:eastAsia="楷体"/>
              <w:szCs w:val="24"/>
            </w:rPr>
            <w:t xml:space="preserve"> 成本端企稳 胶价有所回暖</w:t>
          </w:r>
          <w:r>
            <w:rPr>
              <w:bCs/>
            </w:rPr>
            <w:fldChar w:fldCharType="end"/>
          </w:r>
        </w:p>
        <w:p w14:paraId="6C65F26B">
          <w:pPr>
            <w:pStyle w:val="6"/>
            <w:tabs>
              <w:tab w:val="right" w:leader="dot" w:pos="8306"/>
            </w:tabs>
          </w:pPr>
          <w:r>
            <w:rPr>
              <w:bCs/>
            </w:rPr>
            <w:fldChar w:fldCharType="begin"/>
          </w:r>
          <w:r>
            <w:rPr>
              <w:bCs/>
            </w:rPr>
            <w:instrText xml:space="preserve"> HYPERLINK \l _Toc11330 </w:instrText>
          </w:r>
          <w:r>
            <w:rPr>
              <w:bCs/>
            </w:rPr>
            <w:fldChar w:fldCharType="separate"/>
          </w:r>
          <w:r>
            <w:rPr>
              <w:rFonts w:ascii="楷体" w:hAnsi="楷体" w:eastAsia="楷体"/>
              <w:szCs w:val="24"/>
            </w:rPr>
            <w:t>PTA</w:t>
          </w:r>
          <w:r>
            <w:rPr>
              <w:rFonts w:hint="eastAsia" w:ascii="楷体" w:hAnsi="楷体" w:eastAsia="楷体"/>
              <w:szCs w:val="24"/>
            </w:rPr>
            <w:t>：供应逐步回归 PTA有累库压力</w:t>
          </w:r>
          <w:r>
            <w:rPr>
              <w:bCs/>
            </w:rPr>
            <w:fldChar w:fldCharType="end"/>
          </w:r>
        </w:p>
        <w:p w14:paraId="4B9ED8E3">
          <w:pPr>
            <w:pStyle w:val="6"/>
            <w:tabs>
              <w:tab w:val="right" w:leader="dot" w:pos="8306"/>
            </w:tabs>
          </w:pPr>
          <w:r>
            <w:rPr>
              <w:bCs/>
            </w:rPr>
            <w:fldChar w:fldCharType="begin"/>
          </w:r>
          <w:r>
            <w:rPr>
              <w:bCs/>
            </w:rPr>
            <w:instrText xml:space="preserve"> HYPERLINK \l _Toc7141 </w:instrText>
          </w:r>
          <w:r>
            <w:rPr>
              <w:bCs/>
            </w:rPr>
            <w:fldChar w:fldCharType="separate"/>
          </w:r>
          <w:r>
            <w:rPr>
              <w:rFonts w:hint="eastAsia" w:ascii="楷体" w:hAnsi="楷体" w:eastAsia="楷体"/>
              <w:szCs w:val="24"/>
            </w:rPr>
            <w:t>乙二醇：供需紧平衡为主 短期价格区间震荡为主</w:t>
          </w:r>
          <w:r>
            <w:rPr>
              <w:bCs/>
            </w:rPr>
            <w:fldChar w:fldCharType="end"/>
          </w:r>
        </w:p>
        <w:p w14:paraId="4A713AE8">
          <w:pPr>
            <w:pStyle w:val="6"/>
            <w:tabs>
              <w:tab w:val="right" w:leader="dot" w:pos="8306"/>
            </w:tabs>
          </w:pPr>
          <w:r>
            <w:rPr>
              <w:bCs/>
            </w:rPr>
            <w:fldChar w:fldCharType="begin"/>
          </w:r>
          <w:r>
            <w:rPr>
              <w:bCs/>
            </w:rPr>
            <w:instrText xml:space="preserve"> HYPERLINK \l _Toc13694 </w:instrText>
          </w:r>
          <w:r>
            <w:rPr>
              <w:bCs/>
            </w:rPr>
            <w:fldChar w:fldCharType="separate"/>
          </w:r>
          <w:r>
            <w:rPr>
              <w:rFonts w:hint="eastAsia" w:ascii="楷体" w:hAnsi="楷体" w:eastAsia="楷体"/>
              <w:szCs w:val="24"/>
            </w:rPr>
            <w:t>聚烯烃：需求进入淡季 聚烯烃跟随原油价格走势为主</w:t>
          </w:r>
          <w:r>
            <w:rPr>
              <w:bCs/>
            </w:rPr>
            <w:fldChar w:fldCharType="end"/>
          </w:r>
        </w:p>
        <w:p w14:paraId="311C5536">
          <w:pPr>
            <w:pStyle w:val="6"/>
            <w:tabs>
              <w:tab w:val="right" w:leader="dot" w:pos="8306"/>
            </w:tabs>
          </w:pPr>
          <w:r>
            <w:rPr>
              <w:bCs/>
            </w:rPr>
            <w:fldChar w:fldCharType="begin"/>
          </w:r>
          <w:r>
            <w:rPr>
              <w:bCs/>
            </w:rPr>
            <w:instrText xml:space="preserve"> HYPERLINK \l _Toc26841 </w:instrText>
          </w:r>
          <w:r>
            <w:rPr>
              <w:bCs/>
            </w:rPr>
            <w:fldChar w:fldCharType="separate"/>
          </w:r>
          <w:r>
            <w:rPr>
              <w:rFonts w:hint="eastAsia" w:ascii="楷体" w:hAnsi="楷体" w:eastAsia="楷体"/>
              <w:szCs w:val="24"/>
            </w:rPr>
            <w:t>玻璃：实际利润过低下行空间不大，或保持弱震荡</w:t>
          </w:r>
          <w:r>
            <w:rPr>
              <w:bCs/>
            </w:rPr>
            <w:fldChar w:fldCharType="end"/>
          </w:r>
        </w:p>
        <w:p w14:paraId="16261F34">
          <w:pPr>
            <w:pStyle w:val="6"/>
            <w:tabs>
              <w:tab w:val="right" w:leader="dot" w:pos="8306"/>
            </w:tabs>
          </w:pPr>
          <w:r>
            <w:rPr>
              <w:bCs/>
            </w:rPr>
            <w:fldChar w:fldCharType="begin"/>
          </w:r>
          <w:r>
            <w:rPr>
              <w:bCs/>
            </w:rPr>
            <w:instrText xml:space="preserve"> HYPERLINK \l _Toc24896 </w:instrText>
          </w:r>
          <w:r>
            <w:rPr>
              <w:bCs/>
            </w:rPr>
            <w:fldChar w:fldCharType="separate"/>
          </w:r>
          <w:r>
            <w:rPr>
              <w:rFonts w:hint="eastAsia" w:ascii="楷体" w:hAnsi="楷体" w:eastAsia="楷体"/>
              <w:szCs w:val="24"/>
            </w:rPr>
            <w:t>纯碱：超跌反弹需求呈现，供需尚未到达平衡点</w:t>
          </w:r>
          <w:r>
            <w:rPr>
              <w:bCs/>
            </w:rPr>
            <w:fldChar w:fldCharType="end"/>
          </w:r>
        </w:p>
        <w:p w14:paraId="7620730A">
          <w:pPr>
            <w:pStyle w:val="5"/>
            <w:tabs>
              <w:tab w:val="right" w:leader="dot" w:pos="8306"/>
            </w:tabs>
          </w:pPr>
          <w:r>
            <w:rPr>
              <w:bCs/>
            </w:rPr>
            <w:fldChar w:fldCharType="begin"/>
          </w:r>
          <w:r>
            <w:rPr>
              <w:bCs/>
            </w:rPr>
            <w:instrText xml:space="preserve"> HYPERLINK \l _Toc18389 </w:instrText>
          </w:r>
          <w:r>
            <w:rPr>
              <w:bCs/>
            </w:rPr>
            <w:fldChar w:fldCharType="separate"/>
          </w:r>
          <w:r>
            <w:rPr>
              <w:rFonts w:hint="eastAsia" w:ascii="Times New Roman" w:hAnsi="Times New Roman" w:eastAsia="楷体"/>
              <w:szCs w:val="30"/>
            </w:rPr>
            <w:t>[农产品]</w:t>
          </w:r>
          <w:r>
            <w:rPr>
              <w:bCs/>
            </w:rPr>
            <w:fldChar w:fldCharType="end"/>
          </w:r>
        </w:p>
        <w:p w14:paraId="78144763">
          <w:pPr>
            <w:pStyle w:val="6"/>
            <w:tabs>
              <w:tab w:val="right" w:leader="dot" w:pos="8306"/>
            </w:tabs>
          </w:pPr>
          <w:r>
            <w:rPr>
              <w:bCs/>
            </w:rPr>
            <w:fldChar w:fldCharType="begin"/>
          </w:r>
          <w:r>
            <w:rPr>
              <w:bCs/>
            </w:rPr>
            <w:instrText xml:space="preserve"> HYPERLINK \l _Toc20270 </w:instrText>
          </w:r>
          <w:r>
            <w:rPr>
              <w:bCs/>
            </w:rPr>
            <w:fldChar w:fldCharType="separate"/>
          </w:r>
          <w:r>
            <w:rPr>
              <w:rFonts w:hint="eastAsia" w:ascii="楷体" w:hAnsi="楷体" w:eastAsia="楷体"/>
              <w:bCs/>
            </w:rPr>
            <w:t>玉米与淀粉：</w:t>
          </w:r>
          <w:r>
            <w:rPr>
              <w:rFonts w:hint="eastAsia" w:ascii="楷体" w:hAnsi="楷体" w:eastAsia="楷体"/>
            </w:rPr>
            <w:t>小麦增储带动期价反弹</w:t>
          </w:r>
          <w:r>
            <w:rPr>
              <w:bCs/>
            </w:rPr>
            <w:fldChar w:fldCharType="end"/>
          </w:r>
        </w:p>
        <w:p w14:paraId="3F34B19B">
          <w:pPr>
            <w:pStyle w:val="6"/>
            <w:tabs>
              <w:tab w:val="right" w:leader="dot" w:pos="8306"/>
            </w:tabs>
          </w:pPr>
          <w:r>
            <w:rPr>
              <w:bCs/>
            </w:rPr>
            <w:fldChar w:fldCharType="begin"/>
          </w:r>
          <w:r>
            <w:rPr>
              <w:bCs/>
            </w:rPr>
            <w:instrText xml:space="preserve"> HYPERLINK \l _Toc18570 </w:instrText>
          </w:r>
          <w:r>
            <w:rPr>
              <w:bCs/>
            </w:rPr>
            <w:fldChar w:fldCharType="separate"/>
          </w:r>
          <w:r>
            <w:rPr>
              <w:rFonts w:hint="eastAsia" w:ascii="楷体" w:hAnsi="楷体" w:eastAsia="楷体"/>
              <w:bCs/>
            </w:rPr>
            <w:t>畜禽养殖：现货带动期价近强远弱</w:t>
          </w:r>
          <w:r>
            <w:rPr>
              <w:bCs/>
            </w:rPr>
            <w:fldChar w:fldCharType="end"/>
          </w:r>
        </w:p>
        <w:p w14:paraId="13165A25">
          <w:pPr>
            <w:pStyle w:val="6"/>
            <w:tabs>
              <w:tab w:val="right" w:leader="dot" w:pos="8306"/>
            </w:tabs>
          </w:pPr>
          <w:r>
            <w:rPr>
              <w:bCs/>
            </w:rPr>
            <w:fldChar w:fldCharType="begin"/>
          </w:r>
          <w:r>
            <w:rPr>
              <w:bCs/>
            </w:rPr>
            <w:instrText xml:space="preserve"> HYPERLINK \l _Toc11313 </w:instrText>
          </w:r>
          <w:r>
            <w:rPr>
              <w:bCs/>
            </w:rPr>
            <w:fldChar w:fldCharType="separate"/>
          </w:r>
          <w:r>
            <w:rPr>
              <w:rFonts w:hint="eastAsia" w:ascii="楷体" w:hAnsi="楷体" w:eastAsia="楷体"/>
              <w:szCs w:val="24"/>
            </w:rPr>
            <w:t>白糖：区间波段式震荡整理，高抛</w:t>
          </w:r>
          <w:r>
            <w:rPr>
              <w:bCs/>
            </w:rPr>
            <w:fldChar w:fldCharType="end"/>
          </w:r>
        </w:p>
        <w:p w14:paraId="227E8CC9">
          <w:pPr>
            <w:pStyle w:val="6"/>
            <w:tabs>
              <w:tab w:val="right" w:leader="dot" w:pos="8306"/>
            </w:tabs>
          </w:pPr>
          <w:r>
            <w:rPr>
              <w:bCs/>
            </w:rPr>
            <w:fldChar w:fldCharType="begin"/>
          </w:r>
          <w:r>
            <w:rPr>
              <w:bCs/>
            </w:rPr>
            <w:instrText xml:space="preserve"> HYPERLINK \l _Toc22585 </w:instrText>
          </w:r>
          <w:r>
            <w:rPr>
              <w:bCs/>
            </w:rPr>
            <w:fldChar w:fldCharType="separate"/>
          </w:r>
          <w:r>
            <w:rPr>
              <w:rFonts w:hint="eastAsia" w:ascii="楷体" w:hAnsi="楷体" w:eastAsia="楷体"/>
              <w:szCs w:val="24"/>
            </w:rPr>
            <w:t>棉花：预计郑棉止跌企稳，尝试收复前期跳空缺口</w:t>
          </w:r>
          <w:r>
            <w:rPr>
              <w:bCs/>
            </w:rPr>
            <w:fldChar w:fldCharType="end"/>
          </w:r>
        </w:p>
        <w:p w14:paraId="1BF17A92">
          <w:pPr>
            <w:pStyle w:val="6"/>
            <w:tabs>
              <w:tab w:val="right" w:leader="dot" w:pos="8306"/>
            </w:tabs>
          </w:pPr>
          <w:r>
            <w:rPr>
              <w:bCs/>
            </w:rPr>
            <w:fldChar w:fldCharType="begin"/>
          </w:r>
          <w:r>
            <w:rPr>
              <w:bCs/>
            </w:rPr>
            <w:instrText xml:space="preserve"> HYPERLINK \l _Toc15516 </w:instrText>
          </w:r>
          <w:r>
            <w:rPr>
              <w:bCs/>
            </w:rPr>
            <w:fldChar w:fldCharType="separate"/>
          </w:r>
          <w:r>
            <w:rPr>
              <w:rFonts w:hint="eastAsia" w:ascii="楷体" w:hAnsi="楷体" w:eastAsia="楷体"/>
              <w:szCs w:val="24"/>
            </w:rPr>
            <w:t>蛋白粕：受外盘大豆出口提振，豆二反弹</w:t>
          </w:r>
          <w:r>
            <w:rPr>
              <w:bCs/>
            </w:rPr>
            <w:fldChar w:fldCharType="end"/>
          </w:r>
        </w:p>
        <w:p w14:paraId="35B5D600">
          <w:pPr>
            <w:pStyle w:val="6"/>
            <w:tabs>
              <w:tab w:val="right" w:leader="dot" w:pos="8306"/>
            </w:tabs>
          </w:pPr>
          <w:r>
            <w:rPr>
              <w:bCs/>
            </w:rPr>
            <w:fldChar w:fldCharType="begin"/>
          </w:r>
          <w:r>
            <w:rPr>
              <w:bCs/>
            </w:rPr>
            <w:instrText xml:space="preserve"> HYPERLINK \l _Toc19891 </w:instrText>
          </w:r>
          <w:r>
            <w:rPr>
              <w:bCs/>
            </w:rPr>
            <w:fldChar w:fldCharType="separate"/>
          </w:r>
          <w:r>
            <w:rPr>
              <w:rFonts w:hint="eastAsia" w:ascii="楷体" w:hAnsi="楷体" w:eastAsia="楷体"/>
              <w:szCs w:val="24"/>
            </w:rPr>
            <w:t>油脂类：豆油随美豆反弹，菜油、棕油依旧偏弱</w:t>
          </w:r>
          <w:r>
            <w:rPr>
              <w:bCs/>
            </w:rPr>
            <w:fldChar w:fldCharType="end"/>
          </w:r>
        </w:p>
        <w:p w14:paraId="1115444D">
          <w:r>
            <w:rPr>
              <w:bCs/>
            </w:rPr>
            <w:fldChar w:fldCharType="end"/>
          </w:r>
        </w:p>
      </w:sdtContent>
    </w:sdt>
    <w:p w14:paraId="1D9DF479">
      <w:pPr>
        <w:rPr>
          <w:rFonts w:ascii="Times New Roman" w:hAnsi="Times New Roman" w:eastAsia="楷体" w:cs="Times New Roman"/>
          <w:b/>
          <w:color w:val="823C0B"/>
          <w:sz w:val="24"/>
        </w:rPr>
      </w:pPr>
    </w:p>
    <w:p w14:paraId="25EEA92E">
      <w:pPr>
        <w:rPr>
          <w:rFonts w:ascii="Times New Roman" w:hAnsi="Times New Roman" w:eastAsia="楷体" w:cs="Times New Roman"/>
          <w:b/>
          <w:color w:val="823C0B"/>
          <w:sz w:val="24"/>
        </w:rPr>
      </w:pPr>
    </w:p>
    <w:p w14:paraId="6493EB0C">
      <w:pPr>
        <w:rPr>
          <w:rFonts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rPr>
        <w:t>本文观点、结论和建议等仅供参考，并不构成操作依据！请阅读文末免责声明。</w:t>
      </w:r>
    </w:p>
    <w:p w14:paraId="0FBF5907">
      <w:pPr>
        <w:rPr>
          <w:rFonts w:ascii="Times New Roman" w:hAnsi="Times New Roman" w:eastAsia="楷体" w:cs="Times New Roman"/>
          <w:b/>
          <w:color w:val="823C0B"/>
          <w:sz w:val="24"/>
        </w:rPr>
      </w:pPr>
    </w:p>
    <w:p w14:paraId="10D8060E">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14:paraId="2E09B778">
      <w:pPr>
        <w:pBdr>
          <w:top w:val="single" w:color="auto" w:sz="4" w:space="0"/>
        </w:pBdr>
        <w:outlineLvl w:val="0"/>
        <w:rPr>
          <w:rFonts w:ascii="Times New Roman" w:hAnsi="Times New Roman" w:eastAsia="楷体"/>
          <w:b/>
          <w:color w:val="823C0B"/>
        </w:rPr>
      </w:pPr>
      <w:bookmarkStart w:id="0" w:name="_Toc18033"/>
      <w:bookmarkStart w:id="1" w:name="_Toc19317"/>
      <w:bookmarkStart w:id="2" w:name="_Toc6321"/>
      <w:bookmarkStart w:id="3" w:name="金融"/>
      <w:r>
        <w:rPr>
          <w:rFonts w:hint="eastAsia" w:ascii="Times New Roman" w:hAnsi="Times New Roman" w:eastAsia="楷体"/>
          <w:b/>
          <w:color w:val="823C0B"/>
          <w:sz w:val="30"/>
          <w:szCs w:val="30"/>
        </w:rPr>
        <w:t>[金融]</w:t>
      </w:r>
      <w:bookmarkEnd w:id="0"/>
      <w:bookmarkEnd w:id="1"/>
      <w:bookmarkEnd w:id="2"/>
    </w:p>
    <w:bookmarkEnd w:id="3"/>
    <w:p w14:paraId="77E40C3F">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14253"/>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超跌反弹后维持弱市震荡观点</w:t>
      </w:r>
      <w:bookmarkEnd w:id="6"/>
    </w:p>
    <w:p w14:paraId="42F6B3AD">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大盘全天一路向北科创50强势领涨，沪指创年内第四好成绩。A股全天成交9084.5亿元，5月20日以来首次回升至9000亿上方。</w:t>
      </w:r>
    </w:p>
    <w:p w14:paraId="39EF2144">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7月政治局会议指出下半年改革发展稳定任务很重，下半年的政策基调变得更积极，预计随着“持续用力、更加给力”的政策组合拳落地，经济数据会逐步转暖，叠加近期高层人事变动带来的规律性交易，在持续“地量”下，资金涌入带来较为客观的赚钱效应，后续市场能否持续温和放量是关键。中期看，市场更需要着眼于当下的政策及成效的线性外推，看到国内中期基本面改善清晰度，加之海外大选要在Q4才会尘埃落定，故对Q3仍维持弱势震荡，存在结构性机会的观点。</w:t>
      </w:r>
    </w:p>
    <w:p w14:paraId="5AF84016">
      <w:pPr>
        <w:ind w:left="630" w:leftChars="300"/>
        <w:rPr>
          <w:rFonts w:ascii="Times New Roman" w:hAnsi="Times New Roman" w:eastAsia="楷体"/>
          <w:color w:val="000000" w:themeColor="text1"/>
          <w:sz w:val="24"/>
          <w:szCs w:val="24"/>
          <w14:textFill>
            <w14:solidFill>
              <w14:schemeClr w14:val="tx1"/>
            </w14:solidFill>
          </w14:textFill>
        </w:rPr>
      </w:pPr>
    </w:p>
    <w:p w14:paraId="1B314249">
      <w:pPr>
        <w:pBdr>
          <w:top w:val="single" w:color="auto" w:sz="4" w:space="0"/>
        </w:pBdr>
        <w:outlineLvl w:val="0"/>
        <w:rPr>
          <w:rFonts w:ascii="Times New Roman" w:hAnsi="Times New Roman" w:eastAsia="楷体"/>
          <w:b/>
          <w:color w:val="823C0B"/>
        </w:rPr>
      </w:pPr>
      <w:bookmarkStart w:id="7" w:name="_Toc19935"/>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指数</w:t>
      </w:r>
      <w:r>
        <w:rPr>
          <w:rFonts w:hint="eastAsia" w:ascii="Times New Roman" w:hAnsi="Times New Roman" w:eastAsia="楷体"/>
          <w:b/>
          <w:color w:val="823C0B"/>
          <w:sz w:val="30"/>
          <w:szCs w:val="30"/>
        </w:rPr>
        <w:t>]</w:t>
      </w:r>
      <w:bookmarkEnd w:id="7"/>
    </w:p>
    <w:p w14:paraId="646CE543">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12174"/>
      <w:r>
        <w:rPr>
          <w:rFonts w:hint="eastAsia" w:ascii="Times New Roman" w:hAnsi="Times New Roman" w:eastAsia="楷体"/>
          <w:b/>
          <w:color w:val="000000" w:themeColor="text1"/>
          <w:sz w:val="24"/>
          <w:szCs w:val="24"/>
          <w14:textFill>
            <w14:solidFill>
              <w14:schemeClr w14:val="tx1"/>
            </w14:solidFill>
          </w14:textFill>
        </w:rPr>
        <w:t>集运指数：短暂反弹后回归较弱情绪，注意短期风险</w:t>
      </w:r>
      <w:bookmarkEnd w:id="8"/>
    </w:p>
    <w:p w14:paraId="4BF62640">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主力10合约开盘后保持震荡，在尾盘突发下行，收盘为3505.3点，较上一交易日跌4.31%。EC所有合约成交量为19.14万手，持仓量10.65万手，交投活跃度持平。现货方面，7月26日，上海港出口至欧洲基本港市场运价（海运及海运附加费）为4991美元/TEU，较上期回落0.5%。7月29日盘后公布，SCFIS欧线最新为6225.65点，环比跌1.46%，由涨转跌。</w:t>
      </w:r>
    </w:p>
    <w:p w14:paraId="7A9C08A6">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SCFIS出现小幅回落。另外欧线运价筑顶回调迹象初显，对比美线，欧线回落幅度偏缓，8月初各家船司报价逐步向中枢收敛，但反映出淡季来临时运价或边际转弱。8月上旬整体价格无明显变化，均值维持在大柜8000美金以上，预计短期指数仍将以高位微调为主。</w:t>
      </w:r>
    </w:p>
    <w:p w14:paraId="2574DBCB">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前期期市回调后出现反弹，换月后存在基差修复需求，但实际运价出现放缓迹象，留意短期风险，建议投资者谨慎操作。</w:t>
      </w:r>
    </w:p>
    <w:p w14:paraId="32B22BC9">
      <w:pPr>
        <w:ind w:left="630" w:leftChars="300"/>
        <w:rPr>
          <w:rFonts w:ascii="Times New Roman" w:hAnsi="Times New Roman" w:eastAsia="楷体"/>
          <w:color w:val="000000" w:themeColor="text1"/>
          <w:sz w:val="24"/>
          <w:szCs w:val="24"/>
          <w14:textFill>
            <w14:solidFill>
              <w14:schemeClr w14:val="tx1"/>
            </w14:solidFill>
          </w14:textFill>
        </w:rPr>
      </w:pPr>
    </w:p>
    <w:p w14:paraId="03F96140">
      <w:pPr>
        <w:pBdr>
          <w:top w:val="single" w:color="auto" w:sz="4" w:space="0"/>
        </w:pBdr>
        <w:outlineLvl w:val="0"/>
        <w:rPr>
          <w:rFonts w:ascii="Times New Roman" w:hAnsi="Times New Roman" w:eastAsia="楷体"/>
          <w:b/>
          <w:color w:val="823C0B"/>
        </w:rPr>
      </w:pPr>
      <w:bookmarkStart w:id="9" w:name="_Toc25761"/>
      <w:r>
        <w:rPr>
          <w:rFonts w:hint="eastAsia" w:ascii="Times New Roman" w:hAnsi="Times New Roman" w:eastAsia="楷体"/>
          <w:b/>
          <w:color w:val="823C0B"/>
          <w:sz w:val="30"/>
          <w:szCs w:val="30"/>
        </w:rPr>
        <w:t>[贵金属]</w:t>
      </w:r>
      <w:bookmarkEnd w:id="9"/>
    </w:p>
    <w:p w14:paraId="1A2D5BA5">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10" w:name="_Toc8755"/>
      <w:r>
        <w:rPr>
          <w:rFonts w:hint="eastAsia" w:ascii="Times New Roman" w:hAnsi="Times New Roman" w:eastAsia="楷体"/>
          <w:b/>
          <w:color w:val="000000" w:themeColor="text1"/>
          <w:sz w:val="24"/>
          <w:szCs w:val="24"/>
          <w14:textFill>
            <w14:solidFill>
              <w14:schemeClr w14:val="tx1"/>
            </w14:solidFill>
          </w14:textFill>
        </w:rPr>
        <w:t>贵金属：美联储提示9月可能降息，贵金属价格反弹</w:t>
      </w:r>
      <w:bookmarkEnd w:id="10"/>
    </w:p>
    <w:p w14:paraId="32523074">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沪金涨0.67%至567.12元/克，沪银涨1.60%至7487元/千克。美联储公布7月议息决议，将联邦基金利率目标区间维持在5.25%至5.5%不变，同时释放9月可能降息的信号，确认在降通胀方面取得进展，并开始强调关注避免就业方面风险。美联储主席鲍威尔在随后的讲话中表示，随着劳动力市场降温和通胀率下降，实现就业和通胀目标的风险继续趋于平衡，FOMC最快可能在9月份选择降息。美国7月ADP就业人数录得增12.2万人，为今年二月以来新低，低于预期和前值的15万人。降息环境利好贵金属资产表现，短线留意逢低试多机会。</w:t>
      </w:r>
    </w:p>
    <w:p w14:paraId="1933F154">
      <w:pPr>
        <w:ind w:left="630" w:leftChars="300"/>
        <w:rPr>
          <w:rFonts w:ascii="Times New Roman" w:hAnsi="Times New Roman" w:eastAsia="楷体"/>
          <w:color w:val="000000" w:themeColor="text1"/>
          <w:sz w:val="24"/>
          <w:szCs w:val="24"/>
          <w14:textFill>
            <w14:solidFill>
              <w14:schemeClr w14:val="tx1"/>
            </w14:solidFill>
          </w14:textFill>
        </w:rPr>
      </w:pPr>
    </w:p>
    <w:p w14:paraId="2C7A35AC">
      <w:pPr>
        <w:pBdr>
          <w:top w:val="single" w:color="auto" w:sz="4" w:space="0"/>
        </w:pBdr>
        <w:outlineLvl w:val="0"/>
        <w:rPr>
          <w:rFonts w:ascii="Times New Roman" w:hAnsi="Times New Roman" w:eastAsia="楷体"/>
          <w:b/>
          <w:color w:val="823C0B"/>
          <w:sz w:val="30"/>
          <w:szCs w:val="30"/>
        </w:rPr>
      </w:pPr>
      <w:bookmarkStart w:id="11" w:name="_Toc20891"/>
      <w:bookmarkStart w:id="12" w:name="金属"/>
      <w:bookmarkStart w:id="13" w:name="_Toc3096"/>
      <w:bookmarkStart w:id="14" w:name="_Toc20871"/>
      <w:bookmarkStart w:id="15" w:name="农产品"/>
      <w:r>
        <w:rPr>
          <w:rFonts w:hint="eastAsia" w:ascii="Times New Roman" w:hAnsi="Times New Roman" w:eastAsia="楷体"/>
          <w:b/>
          <w:color w:val="823C0B"/>
          <w:sz w:val="30"/>
          <w:szCs w:val="30"/>
        </w:rPr>
        <w:t>[金属]</w:t>
      </w:r>
      <w:bookmarkEnd w:id="11"/>
      <w:bookmarkEnd w:id="12"/>
      <w:bookmarkEnd w:id="13"/>
      <w:bookmarkEnd w:id="14"/>
    </w:p>
    <w:p w14:paraId="6A081A57">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6" w:name="_Toc20510"/>
      <w:r>
        <w:rPr>
          <w:rFonts w:hint="eastAsia" w:ascii="楷体" w:hAnsi="楷体" w:eastAsia="楷体"/>
          <w:b/>
          <w:color w:val="000000" w:themeColor="text1"/>
          <w:sz w:val="24"/>
          <w:szCs w:val="24"/>
          <w14:textFill>
            <w14:solidFill>
              <w14:schemeClr w14:val="tx1"/>
            </w14:solidFill>
          </w14:textFill>
        </w:rPr>
        <w:t>碳酸锂：仓单集中注销，期价小幅反弹</w:t>
      </w:r>
      <w:bookmarkEnd w:id="16"/>
    </w:p>
    <w:p w14:paraId="3281CE01">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商品期货情绪回暖多数上涨，碳酸锂期价小幅反弹，11合约涨0.98%至82700元/吨。由于每年3、7、11月底注销的安排，昨日收盘后碳酸锂期货仓单集中注销，部分生产日期较早的仓单货物或流入现货市场带来一定的供应增量。磷酸铁锂供应持平，下游动力电池淡季期间去库；周度产量略微上行，头部企业储能订单增加。碳酸锂库存方面，上游、下游，以及贸易商等中游环节均维持累库。淡季期间需求较弱，但期价进一步下探后下游散单采购及询价积极性上升。供强需弱环境下期价偏弱运行，近期留意8万元/吨整数关口附近成本支撑。</w:t>
      </w:r>
    </w:p>
    <w:p w14:paraId="6897F213">
      <w:pPr>
        <w:rPr>
          <w:rFonts w:ascii="楷体" w:hAnsi="楷体" w:eastAsia="楷体"/>
          <w:sz w:val="24"/>
          <w:szCs w:val="24"/>
        </w:rPr>
      </w:pPr>
    </w:p>
    <w:p w14:paraId="39D00D79">
      <w:pPr>
        <w:ind w:left="420" w:leftChars="200"/>
        <w:outlineLvl w:val="1"/>
        <w:rPr>
          <w:rFonts w:ascii="楷体" w:hAnsi="楷体" w:eastAsia="楷体"/>
          <w:b/>
          <w:color w:val="000000" w:themeColor="text1"/>
          <w:sz w:val="24"/>
          <w:szCs w:val="24"/>
          <w14:textFill>
            <w14:solidFill>
              <w14:schemeClr w14:val="tx1"/>
            </w14:solidFill>
          </w14:textFill>
        </w:rPr>
      </w:pPr>
      <w:bookmarkStart w:id="17" w:name="_Toc9719"/>
      <w:bookmarkStart w:id="18" w:name="_Toc25617"/>
      <w:bookmarkStart w:id="19" w:name="_Toc8334"/>
      <w:r>
        <w:rPr>
          <w:rFonts w:hint="eastAsia" w:ascii="楷体" w:hAnsi="楷体" w:eastAsia="楷体"/>
          <w:b/>
          <w:color w:val="000000" w:themeColor="text1"/>
          <w:sz w:val="24"/>
          <w:szCs w:val="24"/>
          <w14:textFill>
            <w14:solidFill>
              <w14:schemeClr w14:val="tx1"/>
            </w14:solidFill>
          </w14:textFill>
        </w:rPr>
        <w:t>铜：</w:t>
      </w:r>
      <w:bookmarkEnd w:id="17"/>
      <w:bookmarkEnd w:id="18"/>
      <w:r>
        <w:rPr>
          <w:rFonts w:hint="eastAsia" w:ascii="楷体" w:hAnsi="楷体" w:eastAsia="楷体"/>
          <w:b/>
          <w:color w:val="000000" w:themeColor="text1"/>
          <w:sz w:val="24"/>
          <w:szCs w:val="24"/>
          <w14:textFill>
            <w14:solidFill>
              <w14:schemeClr w14:val="tx1"/>
            </w14:solidFill>
          </w14:textFill>
        </w:rPr>
        <w:t>反弹力度或有限，关注明晚非农数据</w:t>
      </w:r>
      <w:bookmarkEnd w:id="19"/>
    </w:p>
    <w:p w14:paraId="2465DC77">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 美东时间7月31日周三，美联储布，联邦基金利率的目标区间仍为5.25%到5.50%。至此，在始于2022年3月的本轮紧缩周期内，美联储已连续八次会议未加息。</w:t>
      </w:r>
    </w:p>
    <w:p w14:paraId="09FF641F">
      <w:pPr>
        <w:ind w:left="630" w:leftChars="300"/>
        <w:rPr>
          <w:rFonts w:hint="eastAsia" w:ascii="楷体" w:hAnsi="楷体" w:eastAsia="楷体"/>
          <w:color w:val="000000" w:themeColor="text1"/>
          <w:sz w:val="24"/>
          <w:szCs w:val="24"/>
          <w14:textFill>
            <w14:solidFill>
              <w14:schemeClr w14:val="tx1"/>
            </w14:solidFill>
          </w14:textFill>
        </w:rPr>
      </w:pPr>
    </w:p>
    <w:p w14:paraId="6DD23619">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美国7月ADP就业人数增加12.2万人，低于预期和前值的15万人，同时为2月份以来最低水平。</w:t>
      </w:r>
    </w:p>
    <w:p w14:paraId="07DE972B">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(2)库存：7月31日，SHFE仓单库存206695吨，增748吨；LME仓单库存239275吨，减125吨。</w:t>
      </w:r>
    </w:p>
    <w:p w14:paraId="1FC0E62B">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(3)精废价差：7月31日，Mysteel精废价差1550，收窄177。目前价差在合理价差1437之上。</w:t>
      </w:r>
    </w:p>
    <w:p w14:paraId="68D8DAF2">
      <w:pPr>
        <w:ind w:left="630" w:leftChars="300"/>
        <w:rPr>
          <w:rFonts w:hint="eastAsia" w:ascii="楷体" w:hAnsi="楷体" w:eastAsia="楷体"/>
          <w:color w:val="000000" w:themeColor="text1"/>
          <w:sz w:val="24"/>
          <w:szCs w:val="24"/>
          <w14:textFill>
            <w14:solidFill>
              <w14:schemeClr w14:val="tx1"/>
            </w14:solidFill>
          </w14:textFill>
        </w:rPr>
      </w:pPr>
    </w:p>
    <w:p w14:paraId="27711B68">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联储继续保持高利率不变，但同时释放了9月可能降息的信号，美元指数下跌提振短期铜价，中期角度仍需观察经济数据变化，美国7月ADP就业数据继续走弱且低于预期，关注明晚非农数据公布。国内方面，近日国内政治局会议释放政策端利好信号，股市大幅反弹提振市场情绪。短期价格跟随宏观情绪波动，反弹力度或有限。</w:t>
      </w:r>
    </w:p>
    <w:p w14:paraId="5B21A3B3">
      <w:pPr>
        <w:ind w:firstLine="480" w:firstLineChars="200"/>
        <w:rPr>
          <w:rFonts w:ascii="楷体" w:hAnsi="楷体" w:eastAsia="楷体"/>
          <w:bCs/>
          <w:sz w:val="24"/>
          <w:szCs w:val="24"/>
        </w:rPr>
      </w:pPr>
    </w:p>
    <w:p w14:paraId="14792575">
      <w:pPr>
        <w:ind w:left="420" w:leftChars="200"/>
        <w:outlineLvl w:val="1"/>
        <w:rPr>
          <w:rFonts w:ascii="楷体" w:hAnsi="楷体" w:eastAsia="楷体"/>
          <w:b/>
          <w:color w:val="000000" w:themeColor="text1"/>
          <w:sz w:val="24"/>
          <w:szCs w:val="24"/>
          <w14:textFill>
            <w14:solidFill>
              <w14:schemeClr w14:val="tx1"/>
            </w14:solidFill>
          </w14:textFill>
        </w:rPr>
      </w:pPr>
      <w:bookmarkStart w:id="20" w:name="_Toc6247"/>
      <w:bookmarkStart w:id="21" w:name="_Toc8897"/>
      <w:bookmarkStart w:id="22" w:name="_Toc13521"/>
      <w:r>
        <w:rPr>
          <w:rFonts w:hint="eastAsia" w:ascii="楷体" w:hAnsi="楷体" w:eastAsia="楷体"/>
          <w:b/>
          <w:color w:val="000000" w:themeColor="text1"/>
          <w:sz w:val="24"/>
          <w:szCs w:val="24"/>
          <w14:textFill>
            <w14:solidFill>
              <w14:schemeClr w14:val="tx1"/>
            </w14:solidFill>
          </w14:textFill>
        </w:rPr>
        <w:t>铝：</w:t>
      </w:r>
      <w:bookmarkEnd w:id="20"/>
      <w:bookmarkEnd w:id="21"/>
      <w:r>
        <w:rPr>
          <w:rFonts w:hint="eastAsia" w:ascii="楷体" w:hAnsi="楷体" w:eastAsia="楷体"/>
          <w:b/>
          <w:color w:val="000000" w:themeColor="text1"/>
          <w:sz w:val="24"/>
          <w:szCs w:val="24"/>
          <w14:textFill>
            <w14:solidFill>
              <w14:schemeClr w14:val="tx1"/>
            </w14:solidFill>
          </w14:textFill>
        </w:rPr>
        <w:t>宏观情绪扰动，反弹高度值得关注</w:t>
      </w:r>
      <w:bookmarkEnd w:id="22"/>
    </w:p>
    <w:p w14:paraId="0997A53D">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ADP数据公布低于预期，联储纪要显示维持高利率，9月大概率降息，降息落地前有色价格或持续承压。基本面来看，几内亚铝土矿受雨季影响发运量明显下降，印尼铝土矿出口禁令放松短期内难以落地，现实上游原料供应紧缺格局延续，氧化铝现货报价挺立，中游冶炼生产保持高位但有产能天花板限制，下游淡季需求明显疲软，临近金九银十旺季需求有提振预期，外运出口需求表现较好，国内社会库存走增，市场情绪回暖之下铝价有望短期反弹，但反弹高度及持续性值得持续关注。</w:t>
      </w:r>
    </w:p>
    <w:p w14:paraId="1261257B">
      <w:pPr>
        <w:ind w:left="630" w:leftChars="300"/>
        <w:rPr>
          <w:rFonts w:ascii="楷体" w:hAnsi="楷体" w:eastAsia="楷体"/>
          <w:color w:val="000000" w:themeColor="text1"/>
          <w:sz w:val="24"/>
          <w:szCs w:val="24"/>
          <w14:textFill>
            <w14:solidFill>
              <w14:schemeClr w14:val="tx1"/>
            </w14:solidFill>
          </w14:textFill>
        </w:rPr>
      </w:pPr>
    </w:p>
    <w:p w14:paraId="1FAED769">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6820"/>
      <w:r>
        <w:rPr>
          <w:rFonts w:hint="eastAsia" w:ascii="楷体" w:hAnsi="楷体" w:eastAsia="楷体"/>
          <w:b/>
          <w:color w:val="000000" w:themeColor="text1"/>
          <w:sz w:val="24"/>
          <w:szCs w:val="24"/>
          <w14:textFill>
            <w14:solidFill>
              <w14:schemeClr w14:val="tx1"/>
            </w14:solidFill>
          </w14:textFill>
        </w:rPr>
        <w:t>锌：市场情绪回暖带动锌价反弹</w:t>
      </w:r>
      <w:bookmarkEnd w:id="23"/>
      <w:r>
        <w:rPr>
          <w:rFonts w:hint="eastAsia" w:ascii="楷体" w:hAnsi="楷体" w:eastAsia="楷体"/>
          <w:b/>
          <w:color w:val="000000" w:themeColor="text1"/>
          <w:sz w:val="24"/>
          <w:szCs w:val="24"/>
          <w14:textFill>
            <w14:solidFill>
              <w14:schemeClr w14:val="tx1"/>
            </w14:solidFill>
          </w14:textFill>
        </w:rPr>
        <w:t xml:space="preserve"> </w:t>
      </w:r>
    </w:p>
    <w:p w14:paraId="15E71F00">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表现疲软，联储议息表示9月有降息可能。锌矿TC费率持续低迷，平均冶炼利润维持负值，中游厂家有主动减产意愿，进口窗口短暂开启，下游企业加工开工率偏弱，临近旺季消费有边际修复预期，现货市场流通货源偏紧，持货商挺升水出库，下游企业逢低刚性补库，海内外锌市库存高位去库。锌价前期快速走弱后再遇支撑，市场情绪回暖带动锌价反弹。</w:t>
      </w:r>
    </w:p>
    <w:p w14:paraId="0B7EA998">
      <w:pPr>
        <w:ind w:left="630" w:leftChars="300"/>
        <w:rPr>
          <w:rFonts w:ascii="楷体" w:hAnsi="楷体" w:eastAsia="楷体"/>
          <w:color w:val="000000" w:themeColor="text1"/>
          <w:sz w:val="24"/>
          <w:szCs w:val="24"/>
          <w14:textFill>
            <w14:solidFill>
              <w14:schemeClr w14:val="tx1"/>
            </w14:solidFill>
          </w14:textFill>
        </w:rPr>
      </w:pPr>
    </w:p>
    <w:p w14:paraId="5EC293AD">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3929"/>
      <w:r>
        <w:rPr>
          <w:rFonts w:hint="eastAsia" w:ascii="楷体" w:hAnsi="楷体" w:eastAsia="楷体"/>
          <w:b/>
          <w:color w:val="000000" w:themeColor="text1"/>
          <w:sz w:val="24"/>
          <w:szCs w:val="24"/>
          <w14:textFill>
            <w14:solidFill>
              <w14:schemeClr w14:val="tx1"/>
            </w14:solidFill>
          </w14:textFill>
        </w:rPr>
        <w:t>镍：低位震荡，跟随宏观运行</w:t>
      </w:r>
      <w:bookmarkEnd w:id="24"/>
    </w:p>
    <w:p w14:paraId="0078968D">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宏观方面，美联储议息会议表示9月可能降息，或提振短期宏观情绪。原料方面， 受印尼及菲律宾雨季干扰，印尼镍矿流通资源仍偏紧，印尼镍矿内贸升水维持高位；镍铁成交价格近日上调至1000元/镍附近；硫酸镍厂家减产亏损挺价情绪较强，预计硫酸镍价格弱稳为主。供需方面，国内精炼镍产能持续释放，随着内外价差收窄，国内电积镍现货增加，现货资源偏紧问题逐渐褪去，需求则维持疲弱。库存方面，国内社库维持去化，LME镍库存维持趋势性累库。综合而言，当前镍价位于高冰镍一体化成本附近，镍基本面并无明显驱动，预计价格主要跟随宏观情绪而震荡，短期建议观望。</w:t>
      </w:r>
    </w:p>
    <w:p w14:paraId="7E577D87">
      <w:pPr>
        <w:rPr>
          <w:rFonts w:ascii="楷体" w:hAnsi="楷体" w:eastAsia="楷体"/>
          <w:color w:val="000000" w:themeColor="text1"/>
          <w:sz w:val="24"/>
          <w:szCs w:val="24"/>
          <w14:textFill>
            <w14:solidFill>
              <w14:schemeClr w14:val="tx1"/>
            </w14:solidFill>
          </w14:textFill>
        </w:rPr>
      </w:pPr>
    </w:p>
    <w:p w14:paraId="44684066">
      <w:pPr>
        <w:ind w:left="420" w:leftChars="200"/>
        <w:outlineLvl w:val="1"/>
        <w:rPr>
          <w:rFonts w:ascii="楷体" w:hAnsi="楷体" w:eastAsia="楷体"/>
          <w:b/>
          <w:color w:val="000000" w:themeColor="text1"/>
          <w:sz w:val="24"/>
          <w:szCs w:val="24"/>
          <w14:textFill>
            <w14:solidFill>
              <w14:schemeClr w14:val="tx1"/>
            </w14:solidFill>
          </w14:textFill>
        </w:rPr>
      </w:pPr>
      <w:bookmarkStart w:id="25" w:name="_Toc7661"/>
      <w:r>
        <w:rPr>
          <w:rFonts w:hint="eastAsia" w:ascii="楷体" w:hAnsi="楷体" w:eastAsia="楷体"/>
          <w:b/>
          <w:color w:val="000000" w:themeColor="text1"/>
          <w:sz w:val="24"/>
          <w:szCs w:val="24"/>
          <w14:textFill>
            <w14:solidFill>
              <w14:schemeClr w14:val="tx1"/>
            </w14:solidFill>
          </w14:textFill>
        </w:rPr>
        <w:t>不锈钢：镍铁价格坚挺，带来较强成本支撑</w:t>
      </w:r>
      <w:bookmarkEnd w:id="25"/>
    </w:p>
    <w:p w14:paraId="1FEDB880">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议息会议释放9月可能降息信号，短期有色板块情绪或偏多。镍铁方面，由于镍矿成本支撑较强、镍铁供需紧平衡，近日高镍铁成交价格处于1000元/镍附近。铬铁方面，8月高碳铬铁钢招价格下调100元/吨，预计高碳铬铁价格弱稳为主。供需方面，传统消费淡季中，下游成交氛围未有明显起色，钢联预计8月我国不锈钢粗钢排产约300万吨。综合而言，高成本及低估值支撑期价，降息预期也或带来提振，但需求疲软制约价格上行动能。警惕印尼镍矿供应宽松或镍铁价格下跌带来的下行风险。</w:t>
      </w:r>
    </w:p>
    <w:p w14:paraId="6EDF70FE">
      <w:pPr>
        <w:rPr>
          <w:rFonts w:ascii="楷体" w:hAnsi="楷体" w:eastAsia="楷体"/>
          <w:bCs/>
          <w:sz w:val="24"/>
          <w:szCs w:val="24"/>
        </w:rPr>
      </w:pPr>
    </w:p>
    <w:p w14:paraId="6525F5EF">
      <w:pPr>
        <w:ind w:left="420" w:leftChars="200"/>
        <w:outlineLvl w:val="1"/>
        <w:rPr>
          <w:rFonts w:ascii="楷体" w:hAnsi="楷体" w:eastAsia="楷体"/>
          <w:b/>
          <w:sz w:val="24"/>
          <w:szCs w:val="24"/>
        </w:rPr>
      </w:pPr>
      <w:bookmarkStart w:id="26" w:name="_Toc389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宏观情绪有所提振，短期以震荡对待</w:t>
      </w:r>
      <w:bookmarkEnd w:id="26"/>
    </w:p>
    <w:p w14:paraId="01389362">
      <w:pPr>
        <w:ind w:left="630" w:leftChars="300"/>
        <w:rPr>
          <w:rFonts w:ascii="楷体" w:hAnsi="楷体" w:eastAsia="楷体"/>
          <w:sz w:val="24"/>
          <w:szCs w:val="24"/>
        </w:rPr>
      </w:pPr>
      <w:r>
        <w:rPr>
          <w:rFonts w:hint="eastAsia" w:ascii="楷体" w:hAnsi="楷体" w:eastAsia="楷体"/>
          <w:sz w:val="24"/>
          <w:szCs w:val="24"/>
        </w:rPr>
        <w:t>7月31日，Si2409主力合约呈反弹走势，收盘价10440元/吨，较上一收盘价涨跌幅+3.11%。从宏观面来看，美联储公布7月议息决议，将联邦基金利率目标区间维持在5.25%至5.5%不变，同时释放9月可能降息的信号，同时国内政治局会议释放政策端利好信号，资本市场出现反弹，市场情绪有所提振。从基本面来看，盘面已跌破较多工厂生产成本线，供应边际有所收缩，短期盘面或有一定支撑，但主产区开工整体维持高位，叠加后续或存在新增产能投放，在需求疲软情况下，宽松格局较难迎来扭转，对盘面大幅反弹也存在压制，预计短期或震荡为主，参考区间（10000，10700）。策略上，建议可尝试波段操作。</w:t>
      </w:r>
    </w:p>
    <w:p w14:paraId="1098AB09">
      <w:pPr>
        <w:ind w:firstLine="420" w:firstLineChars="200"/>
        <w:rPr>
          <w:rFonts w:ascii="Times New Roman" w:hAnsi="Times New Roman" w:eastAsia="楷体"/>
          <w:bCs/>
        </w:rPr>
      </w:pPr>
    </w:p>
    <w:p w14:paraId="547D7020">
      <w:pPr>
        <w:ind w:firstLine="420" w:firstLineChars="200"/>
        <w:rPr>
          <w:rFonts w:ascii="Times New Roman" w:hAnsi="Times New Roman" w:eastAsia="楷体"/>
          <w:bCs/>
        </w:rPr>
      </w:pPr>
    </w:p>
    <w:p w14:paraId="5344EF31">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14424"/>
      <w:r>
        <w:rPr>
          <w:rFonts w:hint="eastAsia" w:ascii="Times New Roman" w:hAnsi="Times New Roman" w:eastAsia="楷体"/>
          <w:b/>
          <w:color w:val="823C0B"/>
          <w:sz w:val="30"/>
          <w:szCs w:val="30"/>
        </w:rPr>
        <w:t>[化工]</w:t>
      </w:r>
      <w:bookmarkEnd w:id="27"/>
      <w:bookmarkEnd w:id="28"/>
    </w:p>
    <w:p w14:paraId="4CFF5EDD">
      <w:pPr>
        <w:ind w:firstLine="482" w:firstLineChars="200"/>
        <w:outlineLvl w:val="1"/>
        <w:rPr>
          <w:rFonts w:ascii="Times New Roman" w:hAnsi="Times New Roman" w:eastAsia="楷体"/>
          <w:b/>
          <w:color w:val="000000" w:themeColor="text1"/>
          <w:sz w:val="24"/>
          <w:szCs w:val="24"/>
          <w14:textFill>
            <w14:solidFill>
              <w14:schemeClr w14:val="tx1"/>
            </w14:solidFill>
          </w14:textFill>
        </w:rPr>
      </w:pPr>
      <w:bookmarkStart w:id="29" w:name="_Toc1041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楷体" w:hAnsi="楷体" w:eastAsia="楷体"/>
          <w:b/>
          <w:sz w:val="24"/>
          <w:szCs w:val="24"/>
        </w:rPr>
        <w:t xml:space="preserve"> 成本端企稳 胶价有所回暖</w:t>
      </w:r>
      <w:bookmarkEnd w:id="29"/>
    </w:p>
    <w:p w14:paraId="7BAE2C6A">
      <w:pPr>
        <w:ind w:left="630" w:leftChars="300"/>
        <w:rPr>
          <w:rFonts w:ascii="楷体" w:hAnsi="楷体" w:eastAsia="楷体"/>
          <w:sz w:val="24"/>
          <w:szCs w:val="24"/>
        </w:rPr>
      </w:pPr>
      <w:r>
        <w:rPr>
          <w:rFonts w:hint="eastAsia" w:ascii="楷体" w:hAnsi="楷体" w:eastAsia="楷体"/>
          <w:sz w:val="24"/>
          <w:szCs w:val="24"/>
        </w:rPr>
        <w:t>点评：近期天然橡胶主力合约震荡反弹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7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14:paraId="768F6ADA">
      <w:pPr>
        <w:ind w:firstLine="480" w:firstLineChars="200"/>
        <w:rPr>
          <w:rFonts w:ascii="楷体" w:hAnsi="楷体" w:eastAsia="楷体"/>
          <w:sz w:val="24"/>
          <w:szCs w:val="24"/>
        </w:rPr>
      </w:pPr>
    </w:p>
    <w:p w14:paraId="186014D8">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1330"/>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：供应逐步回归 PTA有累库压力</w:t>
      </w:r>
      <w:bookmarkEnd w:id="30"/>
      <w:r>
        <w:rPr>
          <w:rFonts w:hint="eastAsia" w:ascii="楷体" w:hAnsi="楷体" w:eastAsia="楷体"/>
          <w:b/>
          <w:color w:val="000000" w:themeColor="text1"/>
          <w:sz w:val="24"/>
          <w:szCs w:val="24"/>
          <w14:textFill>
            <w14:solidFill>
              <w14:schemeClr w14:val="tx1"/>
            </w14:solidFill>
          </w14:textFill>
        </w:rPr>
        <w:t xml:space="preserve"> </w:t>
      </w:r>
    </w:p>
    <w:p w14:paraId="39199E61">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供应逐步回归，三季度PTA检修计划偏少，随着聚酯负荷下降，PTA有累库压力，但短期现货流通性仍受影响，码头库存积累仍需时间，整体加工费波动空间有限，后续关注PTA是否有计划外检修以及下游聚酯7~8月减产情况。</w:t>
      </w:r>
    </w:p>
    <w:p w14:paraId="15B04D74">
      <w:pPr>
        <w:ind w:left="630" w:leftChars="300"/>
        <w:rPr>
          <w:rFonts w:ascii="楷体" w:hAnsi="楷体" w:eastAsia="楷体"/>
          <w:color w:val="000000" w:themeColor="text1"/>
          <w:sz w:val="24"/>
          <w:szCs w:val="24"/>
          <w14:textFill>
            <w14:solidFill>
              <w14:schemeClr w14:val="tx1"/>
            </w14:solidFill>
          </w14:textFill>
        </w:rPr>
      </w:pPr>
    </w:p>
    <w:p w14:paraId="01F93ECF">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7141"/>
      <w:r>
        <w:rPr>
          <w:rFonts w:hint="eastAsia" w:ascii="楷体" w:hAnsi="楷体" w:eastAsia="楷体"/>
          <w:b/>
          <w:color w:val="000000" w:themeColor="text1"/>
          <w:sz w:val="24"/>
          <w:szCs w:val="24"/>
          <w14:textFill>
            <w14:solidFill>
              <w14:schemeClr w14:val="tx1"/>
            </w14:solidFill>
          </w14:textFill>
        </w:rPr>
        <w:t>乙二醇：供需紧平衡为主 短期价格区间震荡为主</w:t>
      </w:r>
      <w:bookmarkEnd w:id="31"/>
    </w:p>
    <w:p w14:paraId="2EB91C2F">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随着兖矿、沃能检修落实，下周起合成气制乙二醇开工率将明显下降。传统装置中仍需关注卫星石化一线重启进度。进口环节来看，下周主港到货表现中性，但三季度仍有下调预期，乙二醇供需结构依旧呈现紧平衡为主。短期来看，国内乙二醇装置负荷下滑，聚酯负荷止跌，港口库存延续下滑，对乙二醇形成一定支撑。乙二醇价格重心多呈现区间震荡为主，低位市场补货需求仍存，后续关注成本以及装置变化。</w:t>
      </w:r>
    </w:p>
    <w:p w14:paraId="58A6CD56">
      <w:pPr>
        <w:rPr>
          <w:rFonts w:ascii="楷体" w:hAnsi="楷体" w:eastAsia="楷体"/>
          <w:bCs/>
          <w:sz w:val="24"/>
          <w:szCs w:val="24"/>
        </w:rPr>
      </w:pPr>
    </w:p>
    <w:p w14:paraId="328D4165">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13694"/>
      <w:r>
        <w:rPr>
          <w:rFonts w:hint="eastAsia" w:ascii="楷体" w:hAnsi="楷体" w:eastAsia="楷体"/>
          <w:b/>
          <w:color w:val="000000" w:themeColor="text1"/>
          <w:sz w:val="24"/>
          <w:szCs w:val="24"/>
          <w14:textFill>
            <w14:solidFill>
              <w14:schemeClr w14:val="tx1"/>
            </w14:solidFill>
          </w14:textFill>
        </w:rPr>
        <w:t>聚烯烃：需求进入淡季 聚烯烃跟随原油价格走势为主</w:t>
      </w:r>
      <w:bookmarkEnd w:id="32"/>
    </w:p>
    <w:p w14:paraId="4C36E8B4">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14:paraId="2419A974">
      <w:pPr>
        <w:ind w:firstLine="480" w:firstLineChars="200"/>
        <w:rPr>
          <w:rFonts w:ascii="楷体" w:hAnsi="楷体" w:eastAsia="楷体"/>
          <w:bCs/>
          <w:sz w:val="24"/>
          <w:szCs w:val="24"/>
        </w:rPr>
      </w:pPr>
    </w:p>
    <w:p w14:paraId="55FFEA34">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26841"/>
      <w:r>
        <w:rPr>
          <w:rFonts w:hint="eastAsia" w:ascii="楷体" w:hAnsi="楷体" w:eastAsia="楷体"/>
          <w:b/>
          <w:color w:val="000000" w:themeColor="text1"/>
          <w:sz w:val="24"/>
          <w:szCs w:val="24"/>
          <w14:textFill>
            <w14:solidFill>
              <w14:schemeClr w14:val="tx1"/>
            </w14:solidFill>
          </w14:textFill>
        </w:rPr>
        <w:t>玻璃：实际利润过低下行空间不大，或保持弱震荡</w:t>
      </w:r>
      <w:bookmarkEnd w:id="33"/>
    </w:p>
    <w:p w14:paraId="509838C8">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昨夜盘主力合约2409反弹，收于1381元/吨。</w:t>
      </w:r>
    </w:p>
    <w:p w14:paraId="5D026C93">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现货方面，浮法玻璃华北玻璃大板跌低位至1404元/吨、河北沙河大板现货降至1300元/吨，稳步下行。库存方面，玻璃在产企业总库存为6709.12万重量箱，继续累库。</w:t>
      </w:r>
    </w:p>
    <w:p w14:paraId="4A3C6378">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大多数企业库存增加，原因包括沙河部分企业价格下调、梅雨季和雨季影响、出货欠佳及外围价格下滑。</w:t>
      </w:r>
    </w:p>
    <w:p w14:paraId="71DEC908">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总体来看，目前市场情绪较弱，许多厂家以低于成本的价格出货。下游需求不足且处于累库阶段，预计短期玻璃弱势震荡，建议观望。</w:t>
      </w:r>
    </w:p>
    <w:p w14:paraId="21E8AF47">
      <w:pPr>
        <w:ind w:left="630" w:leftChars="300"/>
        <w:rPr>
          <w:rFonts w:ascii="楷体" w:hAnsi="楷体" w:eastAsia="楷体"/>
          <w:bCs/>
          <w:sz w:val="24"/>
          <w:szCs w:val="24"/>
        </w:rPr>
      </w:pPr>
    </w:p>
    <w:p w14:paraId="0B0A0FB2">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4896"/>
      <w:r>
        <w:rPr>
          <w:rFonts w:hint="eastAsia" w:ascii="楷体" w:hAnsi="楷体" w:eastAsia="楷体"/>
          <w:b/>
          <w:color w:val="000000" w:themeColor="text1"/>
          <w:sz w:val="24"/>
          <w:szCs w:val="24"/>
          <w14:textFill>
            <w14:solidFill>
              <w14:schemeClr w14:val="tx1"/>
            </w14:solidFill>
          </w14:textFill>
        </w:rPr>
        <w:t>纯碱：超跌反弹需求呈现，供需尚未到达平衡点</w:t>
      </w:r>
      <w:bookmarkEnd w:id="34"/>
    </w:p>
    <w:p w14:paraId="050A117A">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夜盘主力合约反弹收盘于1796元/吨。</w:t>
      </w:r>
    </w:p>
    <w:p w14:paraId="50F5964E">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本周开工率上升3.07pct至87.97%。在需求端，玻璃行业等主要下游市场的需求呈现疲软态势。特别是轻碱市场需求明显下滑，出货难度增加。另外楼市尚未出现明显回暖，各线城市房价仍处于环比下降。</w:t>
      </w:r>
    </w:p>
    <w:p w14:paraId="693641C2">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目前，供应恢复导致短期预计纯碱现货价格偏弱，纯碱生产成本较低因此盘面上或仍有下探空间，应等待反弹做空机会。</w:t>
      </w:r>
    </w:p>
    <w:p w14:paraId="269428A2">
      <w:pPr>
        <w:ind w:firstLine="480" w:firstLineChars="200"/>
        <w:rPr>
          <w:rFonts w:ascii="楷体" w:hAnsi="楷体" w:eastAsia="楷体"/>
          <w:bCs/>
          <w:sz w:val="24"/>
          <w:szCs w:val="24"/>
        </w:rPr>
      </w:pPr>
    </w:p>
    <w:p w14:paraId="6D18DFA7">
      <w:pPr>
        <w:ind w:firstLine="420" w:firstLineChars="200"/>
        <w:rPr>
          <w:rFonts w:ascii="Times New Roman" w:hAnsi="Times New Roman" w:eastAsia="楷体"/>
          <w:bCs/>
        </w:rPr>
      </w:pPr>
    </w:p>
    <w:p w14:paraId="0252B436">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18389"/>
      <w:r>
        <w:rPr>
          <w:rFonts w:hint="eastAsia" w:ascii="Times New Roman" w:hAnsi="Times New Roman" w:eastAsia="楷体"/>
          <w:b/>
          <w:color w:val="823C0B"/>
          <w:sz w:val="30"/>
          <w:szCs w:val="30"/>
        </w:rPr>
        <w:t>[农产品]</w:t>
      </w:r>
      <w:bookmarkEnd w:id="15"/>
      <w:bookmarkEnd w:id="35"/>
    </w:p>
    <w:p w14:paraId="09F08F14">
      <w:pPr>
        <w:pStyle w:val="12"/>
        <w:spacing w:before="60" w:beforeAutospacing="0" w:after="60" w:afterAutospacing="0"/>
        <w:ind w:left="420" w:leftChars="200"/>
        <w:outlineLvl w:val="1"/>
        <w:rPr>
          <w:rFonts w:ascii="楷体" w:hAnsi="楷体" w:eastAsia="楷体"/>
          <w:b/>
        </w:rPr>
      </w:pPr>
      <w:bookmarkStart w:id="36" w:name="_Toc2027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小麦增储带动期价反弹</w:t>
      </w:r>
      <w:bookmarkEnd w:id="36"/>
    </w:p>
    <w:p w14:paraId="23EE21A7">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期价走势与2022年较为相似，但相较于2022年，期价结构与内外价差包括市场对下一年度国内玉米供需预期均有所不同，指望下游转向补库存带动期价反弹不太现实，只能更多期待国内旧作玉米产需缺口逐步显现，带动现货止跌，考虑到期价低于北方港口平仓价，更贴近南方销区现货价，现货止跌即有望带动市场定价权的转变，这需要市场对此做出判断，究竟是期价大幅下跌带来的提前风控行为，还是只是现货市场崩盘的开始。综上所述，我们维持谨慎看多观点，但建议投资者暂以观望为宜，待现货止跌后可考虑入场做多。</w:t>
      </w:r>
    </w:p>
    <w:p w14:paraId="6257E666">
      <w:pPr>
        <w:pStyle w:val="12"/>
        <w:spacing w:before="60" w:beforeAutospacing="0" w:after="60" w:afterAutospacing="0"/>
        <w:ind w:left="630" w:leftChars="300"/>
        <w:rPr>
          <w:rFonts w:ascii="楷体" w:hAnsi="楷体" w:eastAsia="楷体"/>
        </w:rPr>
      </w:pPr>
      <w:r>
        <w:rPr>
          <w:rFonts w:hint="eastAsia" w:ascii="楷体" w:hAnsi="楷体" w:eastAsia="楷体"/>
        </w:rPr>
        <w:t>对于淀粉而言，影响淀粉-玉米价差的三方面因素中，行业供需近期趋于偏空，因行业库存已出现累积迹象；原料成本存在变数，至少近期产区玉米收购价多有下跌；而副产品端有望带来支撑，因美豆带动蛋白粕继续弱势，淀粉副产品缺乏上涨动力，这有望抑制淀粉-玉米价差继续回落空间。综上所述，我们维持谨慎看多观点，但建议暂以观望为宜。</w:t>
      </w:r>
    </w:p>
    <w:p w14:paraId="383FF972">
      <w:pPr>
        <w:pStyle w:val="12"/>
        <w:spacing w:before="60" w:beforeAutospacing="0" w:after="60" w:afterAutospacing="0"/>
        <w:ind w:left="630" w:leftChars="300"/>
        <w:rPr>
          <w:rFonts w:ascii="楷体" w:hAnsi="楷体" w:eastAsia="楷体"/>
        </w:rPr>
      </w:pPr>
    </w:p>
    <w:p w14:paraId="76CDE826">
      <w:pPr>
        <w:pStyle w:val="12"/>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7" w:name="_Toc18570"/>
      <w:r>
        <w:rPr>
          <w:rFonts w:hint="eastAsia" w:ascii="楷体" w:hAnsi="楷体" w:eastAsia="楷体"/>
          <w:b/>
          <w:bCs/>
          <w:color w:val="000000" w:themeColor="text1"/>
          <w14:textFill>
            <w14:solidFill>
              <w14:schemeClr w14:val="tx1"/>
            </w14:solidFill>
          </w14:textFill>
        </w:rPr>
        <w:t>畜禽养殖：现货带动期价近强远弱</w:t>
      </w:r>
      <w:bookmarkEnd w:id="37"/>
    </w:p>
    <w:p w14:paraId="18EAC9CF">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已经突破六月高点，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考虑到仔猪价格回升，正套操作可考虑获利离场。</w:t>
      </w:r>
    </w:p>
    <w:p w14:paraId="75D23778">
      <w:pPr>
        <w:pStyle w:val="12"/>
        <w:spacing w:before="60" w:beforeAutospacing="0" w:after="60" w:afterAutospacing="0"/>
        <w:ind w:left="630" w:leftChars="300"/>
        <w:rPr>
          <w:rFonts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近期现货持续回落，可理解为现货市场库存变动所致，考虑到行业供需和季节性因素，现货价格下跌空间或有限，而在基差支撑之下，期价或仍有上涨可能。综上所述，我们维持谨慎看多观点，建议投资者持有旺季合约多单。</w:t>
      </w:r>
    </w:p>
    <w:p w14:paraId="5CC6A2BA">
      <w:pPr>
        <w:ind w:firstLine="480" w:firstLineChars="200"/>
        <w:rPr>
          <w:rFonts w:ascii="楷体" w:hAnsi="楷体" w:eastAsia="楷体"/>
          <w:sz w:val="24"/>
          <w:szCs w:val="24"/>
        </w:rPr>
      </w:pPr>
    </w:p>
    <w:p w14:paraId="0C28C532">
      <w:pPr>
        <w:ind w:left="420" w:leftChars="200"/>
        <w:outlineLvl w:val="1"/>
        <w:rPr>
          <w:rFonts w:hint="eastAsia" w:ascii="楷体" w:hAnsi="楷体" w:eastAsia="楷体"/>
          <w:b/>
          <w:sz w:val="24"/>
          <w:szCs w:val="24"/>
        </w:rPr>
      </w:pPr>
      <w:bookmarkStart w:id="38" w:name="_Toc11313"/>
      <w:r>
        <w:rPr>
          <w:rFonts w:hint="eastAsia" w:ascii="楷体" w:hAnsi="楷体" w:eastAsia="楷体"/>
          <w:b/>
          <w:sz w:val="24"/>
          <w:szCs w:val="24"/>
        </w:rPr>
        <w:t>白糖：区间波段式震荡整理，高抛</w:t>
      </w:r>
      <w:bookmarkEnd w:id="38"/>
    </w:p>
    <w:p w14:paraId="31225CA3">
      <w:pPr>
        <w:ind w:left="630" w:leftChars="300"/>
        <w:rPr>
          <w:rFonts w:ascii="楷体" w:hAnsi="楷体" w:eastAsia="楷体"/>
          <w:sz w:val="24"/>
          <w:szCs w:val="24"/>
        </w:rPr>
      </w:pPr>
      <w:r>
        <w:rPr>
          <w:rFonts w:hint="eastAsia" w:ascii="楷体" w:hAnsi="楷体" w:eastAsia="楷体"/>
          <w:sz w:val="24"/>
          <w:szCs w:val="24"/>
        </w:rPr>
        <w:t>隔夜外盘纽约原糖主力合约和伦敦白砂糖主力合约分别下跌0.58%和0.37%。印度和泰国迎来有益降雨，专家称印度2025年有望恢复白糖出口，但市场仍在担忧巴西的干旱天气。国内夜盘，白糖09主力合约跌0.40%。在传统旺季的刚需驱使下，终端采购积极性增强，去库存进程加快，库存压力减轻，期价存在一定支撑，预计整体仍是区间震荡。但国内远月存在丰产预期，近远走势略有分化。</w:t>
      </w:r>
    </w:p>
    <w:p w14:paraId="37DA5F77">
      <w:pPr>
        <w:ind w:firstLine="480" w:firstLineChars="200"/>
        <w:rPr>
          <w:rFonts w:ascii="楷体" w:hAnsi="楷体" w:eastAsia="楷体"/>
          <w:bCs/>
          <w:sz w:val="24"/>
          <w:szCs w:val="24"/>
        </w:rPr>
      </w:pPr>
    </w:p>
    <w:p w14:paraId="69648AE2">
      <w:pPr>
        <w:ind w:left="420" w:leftChars="200"/>
        <w:outlineLvl w:val="1"/>
        <w:rPr>
          <w:rFonts w:hint="eastAsia" w:ascii="楷体" w:hAnsi="楷体" w:eastAsia="楷体"/>
          <w:b/>
          <w:sz w:val="24"/>
          <w:szCs w:val="24"/>
        </w:rPr>
      </w:pPr>
      <w:bookmarkStart w:id="39" w:name="_Toc22585"/>
      <w:r>
        <w:rPr>
          <w:rFonts w:hint="eastAsia" w:ascii="楷体" w:hAnsi="楷体" w:eastAsia="楷体"/>
          <w:b/>
          <w:sz w:val="24"/>
          <w:szCs w:val="24"/>
        </w:rPr>
        <w:t>棉花：预计郑棉止跌企稳，尝试收复前期跳空缺口</w:t>
      </w:r>
      <w:bookmarkEnd w:id="39"/>
    </w:p>
    <w:p w14:paraId="4F9D1C17">
      <w:pPr>
        <w:ind w:left="630" w:leftChars="300"/>
        <w:rPr>
          <w:rFonts w:ascii="楷体" w:hAnsi="楷体" w:eastAsia="楷体"/>
          <w:sz w:val="24"/>
          <w:szCs w:val="24"/>
        </w:rPr>
      </w:pPr>
      <w:r>
        <w:rPr>
          <w:rFonts w:hint="eastAsia" w:ascii="楷体" w:hAnsi="楷体" w:eastAsia="楷体"/>
          <w:sz w:val="24"/>
          <w:szCs w:val="24"/>
        </w:rPr>
        <w:t>夜盘ICE美棉主力下跌0.98%。相关部门公布棉花滑准税配额公告。公告显示，2024年棉花进口配额从上年的75万吨降低至20万吨。供应大幅减少，利空美棉利多郑棉，内外价差将缩窄。国内夜盘，郑棉主力上涨0.07%。国内部分纺织企业表示近期订单略有好转，但亦有部分纺企降价抛售棉纱。下游的弱势限制了郑棉的反弹高度。</w:t>
      </w:r>
    </w:p>
    <w:p w14:paraId="6B315188">
      <w:pPr>
        <w:ind w:firstLine="480" w:firstLineChars="200"/>
        <w:rPr>
          <w:rFonts w:ascii="楷体" w:hAnsi="楷体" w:eastAsia="楷体"/>
          <w:bCs/>
          <w:sz w:val="24"/>
          <w:szCs w:val="24"/>
        </w:rPr>
      </w:pPr>
    </w:p>
    <w:p w14:paraId="420BDF85">
      <w:pPr>
        <w:ind w:left="420" w:leftChars="200"/>
        <w:outlineLvl w:val="1"/>
        <w:rPr>
          <w:rFonts w:hint="eastAsia" w:ascii="楷体" w:hAnsi="楷体" w:eastAsia="楷体"/>
          <w:b/>
          <w:sz w:val="24"/>
          <w:szCs w:val="24"/>
        </w:rPr>
      </w:pPr>
      <w:bookmarkStart w:id="40" w:name="_Toc15516"/>
      <w:r>
        <w:rPr>
          <w:rFonts w:hint="eastAsia" w:ascii="楷体" w:hAnsi="楷体" w:eastAsia="楷体"/>
          <w:b/>
          <w:sz w:val="24"/>
          <w:szCs w:val="24"/>
        </w:rPr>
        <w:t>蛋白粕：受外盘大豆出口提振，豆二反弹</w:t>
      </w:r>
      <w:bookmarkEnd w:id="40"/>
    </w:p>
    <w:p w14:paraId="7EB2E6C0">
      <w:pPr>
        <w:ind w:left="630" w:leftChars="300"/>
        <w:rPr>
          <w:rFonts w:hint="eastAsia" w:ascii="楷体" w:hAnsi="楷体" w:eastAsia="楷体"/>
          <w:sz w:val="24"/>
          <w:szCs w:val="24"/>
        </w:rPr>
      </w:pPr>
      <w:r>
        <w:rPr>
          <w:rFonts w:hint="eastAsia" w:ascii="楷体" w:hAnsi="楷体" w:eastAsia="楷体"/>
          <w:sz w:val="24"/>
          <w:szCs w:val="24"/>
        </w:rPr>
        <w:t>昨日美豆在连续下跌后小幅反弹，上涨0.22%。原因有二，一是美豆超跌，处于期价低位；二是巴西7月大豆出口远高于去年同期，同时预计7月25日当周美豆出口净增35-125万吨。国内昨日夜盘豆二主力合约跟随变动，上涨0.28%。但豆粕并未跟随上涨，昨日夜盘下跌0.07%。菜籽下跌0.37%，菜粕下跌0.29%。由于加拿大有降雨预期，前期天气炒作作用消退，致使菜籽价格下跌。而粕类方面，目前国内油厂油料供应充足，开机率都维持高位，进而豆粕、菜粕供应充足，粕类价格有一定压力。且短期来看，压力不容易缓解，现货疲软将继续对盘面产生牵制，预计短期粕类近月压力仍然明显。但目前价格已处低位，建议暂时观望。</w:t>
      </w:r>
    </w:p>
    <w:p w14:paraId="6548AD1B">
      <w:pPr>
        <w:ind w:left="630" w:leftChars="300"/>
        <w:rPr>
          <w:rFonts w:hint="eastAsia" w:ascii="楷体" w:hAnsi="楷体" w:eastAsia="楷体"/>
          <w:sz w:val="24"/>
          <w:szCs w:val="24"/>
        </w:rPr>
      </w:pPr>
    </w:p>
    <w:p w14:paraId="535DBD26">
      <w:pPr>
        <w:ind w:left="420" w:leftChars="200"/>
        <w:outlineLvl w:val="1"/>
        <w:rPr>
          <w:rFonts w:hint="eastAsia" w:ascii="楷体" w:hAnsi="楷体" w:eastAsia="楷体"/>
          <w:b/>
          <w:sz w:val="24"/>
          <w:szCs w:val="24"/>
        </w:rPr>
      </w:pPr>
      <w:bookmarkStart w:id="41" w:name="_Toc19891"/>
      <w:r>
        <w:rPr>
          <w:rFonts w:hint="eastAsia" w:ascii="楷体" w:hAnsi="楷体" w:eastAsia="楷体"/>
          <w:b/>
          <w:sz w:val="24"/>
          <w:szCs w:val="24"/>
        </w:rPr>
        <w:t>油脂类：豆油随美豆反弹，菜油、棕油依旧偏弱</w:t>
      </w:r>
      <w:bookmarkEnd w:id="41"/>
    </w:p>
    <w:p w14:paraId="21659AF5">
      <w:pPr>
        <w:ind w:left="630" w:leftChars="300"/>
        <w:rPr>
          <w:rFonts w:ascii="楷体" w:hAnsi="楷体" w:eastAsia="楷体"/>
          <w:sz w:val="24"/>
          <w:szCs w:val="24"/>
        </w:rPr>
      </w:pPr>
      <w:r>
        <w:rPr>
          <w:rFonts w:hint="eastAsia" w:ascii="楷体" w:hAnsi="楷体" w:eastAsia="楷体"/>
          <w:sz w:val="24"/>
          <w:szCs w:val="24"/>
        </w:rPr>
        <w:t>昨日夜盘豆油主力合约上涨0.26%，菜油下跌0.17%，棕榈油期价不变，外盘马棕下跌0.1%。由于原料美豆期价上涨，加上压榨量减少进而导致的供应量减少，豆油价格反弹。根据往年规律，随着8月的到来，油脂总库存会有所下降，供应压力有所缓解。棕榈油方面，根据SPPOMA公布数据， 7月1-20日马来西亚棕榈油单产增加18.47%，出油率减少0.1%，产量增加17.83%，产量或超预期。但棕油出口同样强劲，使其较为抗跌。7月菜油消费保持高位，8月菜油需求回落。对比而言，产量降幅或不及需求降幅，这使得库存可能稳中略增，期价震荡偏弱运行。因此后续豆油运行或好于棕油和菜油，而棕油未跟随大盘变动，后续或有补跌风险。总体而言，目前三大油脂现货基本面短期内供应端有压力，长期来看上涨动力不足，预计震荡偏弱运行，暂观望。</w:t>
      </w:r>
    </w:p>
    <w:p w14:paraId="3FA2C1C7">
      <w:pPr>
        <w:ind w:left="630" w:leftChars="300"/>
        <w:rPr>
          <w:rFonts w:hint="eastAsia" w:ascii="楷体" w:hAnsi="楷体" w:eastAsia="楷体"/>
          <w:sz w:val="24"/>
          <w:szCs w:val="24"/>
        </w:rPr>
      </w:pPr>
    </w:p>
    <w:p w14:paraId="6A134153">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14:paraId="7C620031">
      <w:pPr>
        <w:spacing w:line="360" w:lineRule="auto"/>
        <w:jc w:val="center"/>
        <w:rPr>
          <w:rFonts w:ascii="Times New Roman" w:hAnsi="Times New Roman" w:eastAsia="楷体"/>
          <w:b/>
          <w:color w:val="411D05"/>
          <w:sz w:val="30"/>
          <w:szCs w:val="30"/>
        </w:rPr>
      </w:pPr>
      <w:bookmarkStart w:id="42" w:name="_Toc72481108"/>
      <w:bookmarkStart w:id="43" w:name="_Toc71212556"/>
      <w:bookmarkStart w:id="44" w:name="_Toc98426751"/>
      <w:bookmarkStart w:id="45" w:name="_Toc19667"/>
      <w:bookmarkStart w:id="46" w:name="_Toc12779"/>
      <w:r>
        <w:rPr>
          <w:rFonts w:ascii="Times New Roman" w:hAnsi="Times New Roman" w:eastAsia="楷体"/>
          <w:b/>
          <w:color w:val="411D05"/>
          <w:sz w:val="30"/>
          <w:szCs w:val="30"/>
        </w:rPr>
        <w:t>免责声明</w:t>
      </w:r>
      <w:bookmarkEnd w:id="42"/>
      <w:bookmarkEnd w:id="43"/>
      <w:bookmarkEnd w:id="44"/>
      <w:bookmarkEnd w:id="45"/>
      <w:bookmarkEnd w:id="46"/>
    </w:p>
    <w:p w14:paraId="7DD35623">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14:paraId="4DA72F1D">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14:paraId="0506ADE7">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14:paraId="3E83E70D">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14:paraId="0A963383">
      <w:pPr>
        <w:ind w:firstLine="420" w:firstLineChars="200"/>
        <w:rPr>
          <w:rFonts w:ascii="Times New Roman" w:hAnsi="Times New Roman" w:eastAsia="楷体"/>
        </w:rPr>
      </w:pPr>
    </w:p>
    <w:p w14:paraId="6A6E25B9">
      <w:pPr>
        <w:ind w:firstLine="420" w:firstLineChars="200"/>
        <w:rPr>
          <w:rFonts w:ascii="Times New Roman" w:hAnsi="Times New Roman" w:eastAsia="楷体"/>
        </w:rPr>
      </w:pPr>
    </w:p>
    <w:p w14:paraId="06C2D6C4">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14:paraId="4868F8CB">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14:paraId="3BF3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14:paraId="64F23665">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14:paraId="7D24B51B">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14:paraId="66320203">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14:paraId="18B240FE">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14:paraId="37FCEF91">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14:paraId="238B8A1C">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14:paraId="4728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14:paraId="4686A2D9">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14:paraId="0C09A764">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14:paraId="3E4798D1">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14:paraId="1ACBD3C2">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14:paraId="2FAEC340">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14:paraId="5D4C1951">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14:paraId="43C0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14:paraId="4F6BB031">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14:paraId="50EC8D26">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14:paraId="2AEEB376">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14:paraId="71CD51F7">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14:paraId="46D0D62D">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14:paraId="6CBDC69C">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14:paraId="5FE63B78">
      <w:pPr>
        <w:ind w:firstLine="420" w:firstLineChars="200"/>
        <w:rPr>
          <w:rFonts w:ascii="Times New Roman" w:hAnsi="Times New Roman" w:eastAsia="楷体"/>
        </w:rPr>
      </w:pPr>
    </w:p>
    <w:p w14:paraId="4140B02D">
      <w:pPr>
        <w:ind w:firstLine="420" w:firstLineChars="200"/>
        <w:rPr>
          <w:rFonts w:ascii="Times New Roman" w:hAnsi="Times New Roman" w:eastAsia="楷体"/>
        </w:rPr>
      </w:pPr>
    </w:p>
    <w:p w14:paraId="0561D7F6">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14:paraId="11E80D2C">
        <w:tblPrEx>
          <w:tblCellMar>
            <w:top w:w="0" w:type="dxa"/>
            <w:left w:w="108" w:type="dxa"/>
            <w:bottom w:w="0" w:type="dxa"/>
            <w:right w:w="108" w:type="dxa"/>
          </w:tblCellMar>
        </w:tblPrEx>
        <w:trPr>
          <w:jc w:val="center"/>
        </w:trPr>
        <w:tc>
          <w:tcPr>
            <w:tcW w:w="5000" w:type="pct"/>
            <w:shd w:val="clear" w:color="auto" w:fill="auto"/>
            <w:vAlign w:val="center"/>
          </w:tcPr>
          <w:p w14:paraId="7CBE997F">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14:paraId="2B1C39B9">
        <w:tblPrEx>
          <w:tblCellMar>
            <w:top w:w="0" w:type="dxa"/>
            <w:left w:w="108" w:type="dxa"/>
            <w:bottom w:w="0" w:type="dxa"/>
            <w:right w:w="108" w:type="dxa"/>
          </w:tblCellMar>
        </w:tblPrEx>
        <w:trPr>
          <w:jc w:val="center"/>
        </w:trPr>
        <w:tc>
          <w:tcPr>
            <w:tcW w:w="5000" w:type="pct"/>
            <w:shd w:val="clear" w:color="auto" w:fill="auto"/>
            <w:vAlign w:val="center"/>
          </w:tcPr>
          <w:p w14:paraId="16F9C415">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14:paraId="7206850A">
        <w:tblPrEx>
          <w:tblCellMar>
            <w:top w:w="0" w:type="dxa"/>
            <w:left w:w="108" w:type="dxa"/>
            <w:bottom w:w="0" w:type="dxa"/>
            <w:right w:w="108" w:type="dxa"/>
          </w:tblCellMar>
        </w:tblPrEx>
        <w:trPr>
          <w:jc w:val="center"/>
        </w:trPr>
        <w:tc>
          <w:tcPr>
            <w:tcW w:w="5000" w:type="pct"/>
            <w:shd w:val="clear" w:color="auto" w:fill="auto"/>
            <w:vAlign w:val="center"/>
          </w:tcPr>
          <w:p w14:paraId="7D1B1DCC">
            <w:pPr>
              <w:jc w:val="left"/>
              <w:rPr>
                <w:rFonts w:ascii="Times New Roman" w:hAnsi="Times New Roman" w:eastAsia="楷体"/>
                <w:bCs/>
                <w:color w:val="823C0B"/>
              </w:rPr>
            </w:pPr>
            <w:r>
              <w:rPr>
                <w:rFonts w:ascii="Times New Roman" w:hAnsi="Times New Roman" w:eastAsia="楷体"/>
                <w:bCs/>
                <w:color w:val="823C0B"/>
              </w:rPr>
              <w:t>邮政编码：510627</w:t>
            </w:r>
          </w:p>
        </w:tc>
      </w:tr>
    </w:tbl>
    <w:p w14:paraId="082C3D47">
      <w:pPr>
        <w:ind w:firstLine="420" w:firstLineChars="200"/>
        <w:rPr>
          <w:rFonts w:ascii="Times New Roman" w:hAnsi="Times New Roman" w:eastAsia="楷体"/>
        </w:rPr>
      </w:pPr>
    </w:p>
    <w:p w14:paraId="483506EE">
      <w:pPr>
        <w:ind w:firstLine="420" w:firstLineChars="200"/>
        <w:rPr>
          <w:rFonts w:ascii="Times New Roman" w:hAnsi="Times New Roman" w:eastAsia="楷体"/>
        </w:rPr>
      </w:pPr>
    </w:p>
    <w:p w14:paraId="6A26FCDD">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2DA">
    <w:pPr>
      <w:pStyle w:val="3"/>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B652E">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DB652E">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8F13A">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E02E7">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14:paraId="070E02E7">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CC45F">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1ECC45F">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9F4DE">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12F7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9812F7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D334">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14:paraId="5303FE68">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ED4F">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14:paraId="11FD0C00">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2024年8月1日星期四</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340883"/>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086AA1"/>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4E9170B"/>
    <w:rsid w:val="373F75CC"/>
    <w:rsid w:val="3A2F6D68"/>
    <w:rsid w:val="3AC9385E"/>
    <w:rsid w:val="3B3306F0"/>
    <w:rsid w:val="3B563B4D"/>
    <w:rsid w:val="3C2825B0"/>
    <w:rsid w:val="3C2B26B7"/>
    <w:rsid w:val="3C964FE5"/>
    <w:rsid w:val="3D8B796D"/>
    <w:rsid w:val="3DA80A30"/>
    <w:rsid w:val="3DF60656"/>
    <w:rsid w:val="3EC32453"/>
    <w:rsid w:val="3ECC520D"/>
    <w:rsid w:val="3EE0186C"/>
    <w:rsid w:val="3EFE09FD"/>
    <w:rsid w:val="3F345DBE"/>
    <w:rsid w:val="40F15753"/>
    <w:rsid w:val="43F63E0D"/>
    <w:rsid w:val="44092E2E"/>
    <w:rsid w:val="441077D2"/>
    <w:rsid w:val="44396064"/>
    <w:rsid w:val="459609D9"/>
    <w:rsid w:val="45A37566"/>
    <w:rsid w:val="45CF0A85"/>
    <w:rsid w:val="46194A11"/>
    <w:rsid w:val="47017063"/>
    <w:rsid w:val="47752ACA"/>
    <w:rsid w:val="47C813F2"/>
    <w:rsid w:val="487B57FE"/>
    <w:rsid w:val="4AB74C38"/>
    <w:rsid w:val="4B6224E5"/>
    <w:rsid w:val="4B8C4A56"/>
    <w:rsid w:val="4BF97936"/>
    <w:rsid w:val="4C457E30"/>
    <w:rsid w:val="4D2A3925"/>
    <w:rsid w:val="4DB16F48"/>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0EF1EAF"/>
    <w:rsid w:val="61154F09"/>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7C30B50"/>
    <w:rsid w:val="784F7772"/>
    <w:rsid w:val="78E55995"/>
    <w:rsid w:val="79267C0B"/>
    <w:rsid w:val="7ABE4B56"/>
    <w:rsid w:val="7B264F79"/>
    <w:rsid w:val="7B3E5659"/>
    <w:rsid w:val="7C8C2EAC"/>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autoRedefine/>
    <w:qFormat/>
    <w:uiPriority w:val="0"/>
    <w:rPr>
      <w:rFonts w:asciiTheme="minorHAnsi" w:hAnsiTheme="minorHAnsi" w:cstheme="minorBidi"/>
      <w:b/>
      <w:bCs/>
      <w:kern w:val="44"/>
      <w:sz w:val="44"/>
      <w:szCs w:val="44"/>
    </w:rPr>
  </w:style>
  <w:style w:type="paragraph" w:customStyle="1" w:styleId="17">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3E9EC-9898-4E02-A014-F5188AE0A286}">
  <ds:schemaRefs/>
</ds:datastoreItem>
</file>

<file path=docProps/app.xml><?xml version="1.0" encoding="utf-8"?>
<Properties xmlns="http://schemas.openxmlformats.org/officeDocument/2006/extended-properties" xmlns:vt="http://schemas.openxmlformats.org/officeDocument/2006/docPropsVTypes">
  <Template>Normal</Template>
  <Pages>9</Pages>
  <Words>7131</Words>
  <Characters>7761</Characters>
  <Lines>66</Lines>
  <Paragraphs>18</Paragraphs>
  <TotalTime>8</TotalTime>
  <ScaleCrop>false</ScaleCrop>
  <LinksUpToDate>false</LinksUpToDate>
  <CharactersWithSpaces>7784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小野猫子</cp:lastModifiedBy>
  <cp:lastPrinted>2023-04-20T02:18:00Z</cp:lastPrinted>
  <dcterms:modified xsi:type="dcterms:W3CDTF">2024-08-01T02:07:51Z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88F59B570830480FBD960522A6F97CC7</vt:lpwstr>
  </property>
</Properties>
</file>