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48" w:name="_GoBack"/>
      <w:bookmarkStart w:id="0" w:name="_top"/>
      <w:bookmarkEnd w:id="0"/>
      <w:r>
        <w:rPr>
          <w:rFonts w:ascii="Times New Roman" w:hAnsi="Times New Roman" w:eastAsia="楷体" w:cs="Times New Roman"/>
          <w:b/>
          <w:color w:val="823C0B"/>
          <w:sz w:val="32"/>
          <w:szCs w:val="32"/>
        </w:rPr>
        <w:t>广州期货早间直通车</w:t>
      </w:r>
    </w:p>
    <w:bookmarkEnd w:id="48"/>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_Toc24424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_Toc8945 </w:instrText>
          </w:r>
          <w:r>
            <w:rPr>
              <w:bCs/>
            </w:rPr>
            <w:fldChar w:fldCharType="separate"/>
          </w:r>
          <w:r>
            <w:rPr>
              <w:rFonts w:hint="eastAsia" w:ascii="Times New Roman" w:hAnsi="Times New Roman" w:eastAsia="楷体"/>
              <w:szCs w:val="24"/>
            </w:rPr>
            <w:t>股指：弱势震荡</w:t>
          </w:r>
          <w:r>
            <w:rPr>
              <w:bCs/>
            </w:rPr>
            <w:fldChar w:fldCharType="end"/>
          </w:r>
        </w:p>
        <w:p>
          <w:pPr>
            <w:pStyle w:val="59"/>
            <w:tabs>
              <w:tab w:val="right" w:leader="dot" w:pos="8306"/>
            </w:tabs>
          </w:pPr>
          <w:r>
            <w:rPr>
              <w:bCs/>
            </w:rPr>
            <w:fldChar w:fldCharType="begin"/>
          </w:r>
          <w:r>
            <w:rPr>
              <w:bCs/>
            </w:rPr>
            <w:instrText xml:space="preserve"> HYPERLINK \l _Toc19432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_Toc15291 </w:instrText>
          </w:r>
          <w:r>
            <w:rPr>
              <w:bCs/>
            </w:rPr>
            <w:fldChar w:fldCharType="separate"/>
          </w:r>
          <w:r>
            <w:rPr>
              <w:rFonts w:hint="eastAsia" w:ascii="Times New Roman" w:hAnsi="Times New Roman" w:eastAsia="楷体"/>
              <w:szCs w:val="24"/>
            </w:rPr>
            <w:t>贵金属：美国标普制造业PMI低于预期，贵金属窄幅震荡</w:t>
          </w:r>
          <w:r>
            <w:rPr>
              <w:bCs/>
            </w:rPr>
            <w:fldChar w:fldCharType="end"/>
          </w:r>
        </w:p>
        <w:p>
          <w:pPr>
            <w:pStyle w:val="59"/>
            <w:tabs>
              <w:tab w:val="right" w:leader="dot" w:pos="8306"/>
            </w:tabs>
          </w:pPr>
          <w:r>
            <w:rPr>
              <w:bCs/>
            </w:rPr>
            <w:fldChar w:fldCharType="begin"/>
          </w:r>
          <w:r>
            <w:rPr>
              <w:bCs/>
            </w:rPr>
            <w:instrText xml:space="preserve"> HYPERLINK \l _Toc7114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_Toc24055 </w:instrText>
          </w:r>
          <w:r>
            <w:rPr>
              <w:bCs/>
            </w:rPr>
            <w:fldChar w:fldCharType="separate"/>
          </w:r>
          <w:r>
            <w:rPr>
              <w:rFonts w:hint="eastAsia" w:ascii="楷体" w:hAnsi="楷体" w:eastAsia="楷体"/>
              <w:szCs w:val="24"/>
            </w:rPr>
            <w:t>碳酸锂：Pilbara二季度锂精矿产量上升，期价小幅下跌</w:t>
          </w:r>
          <w:r>
            <w:rPr>
              <w:bCs/>
            </w:rPr>
            <w:fldChar w:fldCharType="end"/>
          </w:r>
        </w:p>
        <w:p>
          <w:pPr>
            <w:pStyle w:val="74"/>
            <w:tabs>
              <w:tab w:val="right" w:leader="dot" w:pos="8306"/>
            </w:tabs>
          </w:pPr>
          <w:r>
            <w:rPr>
              <w:bCs/>
            </w:rPr>
            <w:fldChar w:fldCharType="begin"/>
          </w:r>
          <w:r>
            <w:rPr>
              <w:bCs/>
            </w:rPr>
            <w:instrText xml:space="preserve"> HYPERLINK \l _Toc23955 </w:instrText>
          </w:r>
          <w:r>
            <w:rPr>
              <w:bCs/>
            </w:rPr>
            <w:fldChar w:fldCharType="separate"/>
          </w:r>
          <w:r>
            <w:rPr>
              <w:rFonts w:hint="eastAsia" w:ascii="楷体" w:hAnsi="楷体" w:eastAsia="楷体"/>
              <w:szCs w:val="24"/>
            </w:rPr>
            <w:t>铝：铝价承压偏弱运行，观望为主</w:t>
          </w:r>
          <w:r>
            <w:rPr>
              <w:bCs/>
            </w:rPr>
            <w:fldChar w:fldCharType="end"/>
          </w:r>
        </w:p>
        <w:p>
          <w:pPr>
            <w:pStyle w:val="74"/>
            <w:tabs>
              <w:tab w:val="right" w:leader="dot" w:pos="8306"/>
            </w:tabs>
          </w:pPr>
          <w:r>
            <w:rPr>
              <w:bCs/>
            </w:rPr>
            <w:fldChar w:fldCharType="begin"/>
          </w:r>
          <w:r>
            <w:rPr>
              <w:bCs/>
            </w:rPr>
            <w:instrText xml:space="preserve"> HYPERLINK \l _Toc1221 </w:instrText>
          </w:r>
          <w:r>
            <w:rPr>
              <w:bCs/>
            </w:rPr>
            <w:fldChar w:fldCharType="separate"/>
          </w:r>
          <w:r>
            <w:rPr>
              <w:rFonts w:hint="eastAsia" w:ascii="楷体" w:hAnsi="楷体" w:eastAsia="楷体"/>
              <w:szCs w:val="24"/>
            </w:rPr>
            <w:t>锌：锌价承压运行</w:t>
          </w:r>
          <w:r>
            <w:rPr>
              <w:bCs/>
            </w:rPr>
            <w:fldChar w:fldCharType="end"/>
          </w:r>
        </w:p>
        <w:p>
          <w:pPr>
            <w:pStyle w:val="74"/>
            <w:tabs>
              <w:tab w:val="right" w:leader="dot" w:pos="8306"/>
            </w:tabs>
          </w:pPr>
          <w:r>
            <w:rPr>
              <w:bCs/>
            </w:rPr>
            <w:fldChar w:fldCharType="begin"/>
          </w:r>
          <w:r>
            <w:rPr>
              <w:bCs/>
            </w:rPr>
            <w:instrText xml:space="preserve"> HYPERLINK \l _Toc29646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：跌势或放缓</w:t>
          </w:r>
          <w:r>
            <w:rPr>
              <w:bCs/>
            </w:rPr>
            <w:fldChar w:fldCharType="end"/>
          </w:r>
        </w:p>
        <w:p>
          <w:pPr>
            <w:pStyle w:val="74"/>
            <w:tabs>
              <w:tab w:val="right" w:leader="dot" w:pos="8306"/>
            </w:tabs>
          </w:pPr>
          <w:r>
            <w:rPr>
              <w:bCs/>
            </w:rPr>
            <w:fldChar w:fldCharType="begin"/>
          </w:r>
          <w:r>
            <w:rPr>
              <w:bCs/>
            </w:rPr>
            <w:instrText xml:space="preserve"> HYPERLINK \l _Toc13512 </w:instrText>
          </w:r>
          <w:r>
            <w:rPr>
              <w:bCs/>
            </w:rPr>
            <w:fldChar w:fldCharType="separate"/>
          </w:r>
          <w:r>
            <w:rPr>
              <w:rFonts w:hint="eastAsia" w:ascii="楷体" w:hAnsi="楷体" w:eastAsia="楷体"/>
              <w:szCs w:val="24"/>
            </w:rPr>
            <w:t>镍：预计短期镍价偏弱整理为主</w:t>
          </w:r>
          <w:r>
            <w:rPr>
              <w:bCs/>
            </w:rPr>
            <w:fldChar w:fldCharType="end"/>
          </w:r>
        </w:p>
        <w:p>
          <w:pPr>
            <w:pStyle w:val="74"/>
            <w:tabs>
              <w:tab w:val="right" w:leader="dot" w:pos="8306"/>
            </w:tabs>
          </w:pPr>
          <w:r>
            <w:rPr>
              <w:bCs/>
            </w:rPr>
            <w:fldChar w:fldCharType="begin"/>
          </w:r>
          <w:r>
            <w:rPr>
              <w:bCs/>
            </w:rPr>
            <w:instrText xml:space="preserve"> HYPERLINK \l _Toc21450 </w:instrText>
          </w:r>
          <w:r>
            <w:rPr>
              <w:bCs/>
            </w:rPr>
            <w:fldChar w:fldCharType="separate"/>
          </w:r>
          <w:r>
            <w:rPr>
              <w:rFonts w:hint="eastAsia" w:ascii="楷体" w:hAnsi="楷体" w:eastAsia="楷体"/>
              <w:szCs w:val="24"/>
            </w:rPr>
            <w:t>不锈钢：供需压力下，向上驱动不足</w:t>
          </w:r>
          <w:r>
            <w:rPr>
              <w:bCs/>
            </w:rPr>
            <w:fldChar w:fldCharType="end"/>
          </w:r>
        </w:p>
        <w:p>
          <w:pPr>
            <w:pStyle w:val="74"/>
            <w:tabs>
              <w:tab w:val="right" w:leader="dot" w:pos="8306"/>
            </w:tabs>
          </w:pPr>
          <w:r>
            <w:rPr>
              <w:bCs/>
            </w:rPr>
            <w:fldChar w:fldCharType="begin"/>
          </w:r>
          <w:r>
            <w:rPr>
              <w:bCs/>
            </w:rPr>
            <w:instrText xml:space="preserve"> HYPERLINK \l _Toc27748 </w:instrText>
          </w:r>
          <w:r>
            <w:rPr>
              <w:bCs/>
            </w:rPr>
            <w:fldChar w:fldCharType="separate"/>
          </w:r>
          <w:r>
            <w:rPr>
              <w:rFonts w:hint="eastAsia" w:ascii="楷体" w:hAnsi="楷体" w:eastAsia="楷体"/>
              <w:szCs w:val="24"/>
            </w:rPr>
            <w:t>工业硅：大厂再度下调报价，对盘面或构成压力</w:t>
          </w:r>
          <w:r>
            <w:rPr>
              <w:bCs/>
            </w:rPr>
            <w:fldChar w:fldCharType="end"/>
          </w:r>
        </w:p>
        <w:p>
          <w:pPr>
            <w:pStyle w:val="59"/>
            <w:tabs>
              <w:tab w:val="right" w:leader="dot" w:pos="8306"/>
            </w:tabs>
          </w:pPr>
          <w:r>
            <w:rPr>
              <w:bCs/>
            </w:rPr>
            <w:fldChar w:fldCharType="begin"/>
          </w:r>
          <w:r>
            <w:rPr>
              <w:bCs/>
            </w:rPr>
            <w:instrText xml:space="preserve"> HYPERLINK \l _Toc12133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_Toc14047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原料价格止跌企稳再度验证 橡胶下方空间有限</w:t>
          </w:r>
          <w:r>
            <w:rPr>
              <w:bCs/>
            </w:rPr>
            <w:fldChar w:fldCharType="end"/>
          </w:r>
        </w:p>
        <w:p>
          <w:pPr>
            <w:pStyle w:val="74"/>
            <w:tabs>
              <w:tab w:val="right" w:leader="dot" w:pos="8306"/>
            </w:tabs>
          </w:pPr>
          <w:r>
            <w:rPr>
              <w:bCs/>
            </w:rPr>
            <w:fldChar w:fldCharType="begin"/>
          </w:r>
          <w:r>
            <w:rPr>
              <w:bCs/>
            </w:rPr>
            <w:instrText xml:space="preserve"> HYPERLINK \l _Toc2602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_Toc399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厂家利润较低下行空间不大，期货市场或保持弱震荡</w:t>
          </w:r>
          <w:r>
            <w:rPr>
              <w:bCs/>
            </w:rPr>
            <w:fldChar w:fldCharType="end"/>
          </w:r>
        </w:p>
        <w:p>
          <w:pPr>
            <w:pStyle w:val="74"/>
            <w:tabs>
              <w:tab w:val="right" w:leader="dot" w:pos="8306"/>
            </w:tabs>
          </w:pPr>
          <w:r>
            <w:rPr>
              <w:bCs/>
            </w:rPr>
            <w:fldChar w:fldCharType="begin"/>
          </w:r>
          <w:r>
            <w:rPr>
              <w:bCs/>
            </w:rPr>
            <w:instrText xml:space="preserve"> HYPERLINK \l _Toc31808 </w:instrText>
          </w:r>
          <w:r>
            <w:rPr>
              <w:bCs/>
            </w:rPr>
            <w:fldChar w:fldCharType="separate"/>
          </w:r>
          <w:r>
            <w:rPr>
              <w:rFonts w:hint="eastAsia" w:ascii="Times New Roman" w:hAnsi="Times New Roman" w:eastAsia="楷体"/>
              <w:szCs w:val="24"/>
            </w:rPr>
            <w:t>纯碱：现货下跌保持疲弱，短期或仍存下探空间</w:t>
          </w:r>
          <w:r>
            <w:rPr>
              <w:bCs/>
            </w:rPr>
            <w:fldChar w:fldCharType="end"/>
          </w:r>
        </w:p>
        <w:p>
          <w:pPr>
            <w:pStyle w:val="74"/>
            <w:tabs>
              <w:tab w:val="right" w:leader="dot" w:pos="8306"/>
            </w:tabs>
          </w:pPr>
          <w:r>
            <w:rPr>
              <w:bCs/>
            </w:rPr>
            <w:fldChar w:fldCharType="begin"/>
          </w:r>
          <w:r>
            <w:rPr>
              <w:bCs/>
            </w:rPr>
            <w:instrText xml:space="preserve"> HYPERLINK \l _Toc2942 </w:instrText>
          </w:r>
          <w:r>
            <w:rPr>
              <w:bCs/>
            </w:rPr>
            <w:fldChar w:fldCharType="separate"/>
          </w:r>
          <w:r>
            <w:rPr>
              <w:rFonts w:hint="eastAsia" w:ascii="Times New Roman" w:hAnsi="Times New Roman" w:eastAsia="楷体"/>
              <w:szCs w:val="24"/>
            </w:rPr>
            <w:t>PTA：供应回归 PTA有累库压力</w:t>
          </w:r>
          <w:r>
            <w:rPr>
              <w:bCs/>
            </w:rPr>
            <w:fldChar w:fldCharType="end"/>
          </w:r>
        </w:p>
        <w:p>
          <w:pPr>
            <w:pStyle w:val="74"/>
            <w:tabs>
              <w:tab w:val="right" w:leader="dot" w:pos="8306"/>
            </w:tabs>
          </w:pPr>
          <w:r>
            <w:rPr>
              <w:bCs/>
            </w:rPr>
            <w:fldChar w:fldCharType="begin"/>
          </w:r>
          <w:r>
            <w:rPr>
              <w:bCs/>
            </w:rPr>
            <w:instrText xml:space="preserve"> HYPERLINK \l _Toc14851 </w:instrText>
          </w:r>
          <w:r>
            <w:rPr>
              <w:bCs/>
            </w:rPr>
            <w:fldChar w:fldCharType="separate"/>
          </w:r>
          <w:r>
            <w:rPr>
              <w:rFonts w:hint="eastAsia" w:ascii="Times New Roman" w:hAnsi="Times New Roman" w:eastAsia="楷体"/>
              <w:szCs w:val="24"/>
            </w:rPr>
            <w:t>乙二醇：供需紧平衡为主 短期价格区间震荡表现</w:t>
          </w:r>
          <w:r>
            <w:rPr>
              <w:bCs/>
            </w:rPr>
            <w:fldChar w:fldCharType="end"/>
          </w:r>
        </w:p>
        <w:p>
          <w:pPr>
            <w:pStyle w:val="59"/>
            <w:tabs>
              <w:tab w:val="right" w:leader="dot" w:pos="8306"/>
            </w:tabs>
          </w:pPr>
          <w:r>
            <w:rPr>
              <w:bCs/>
            </w:rPr>
            <w:fldChar w:fldCharType="begin"/>
          </w:r>
          <w:r>
            <w:rPr>
              <w:bCs/>
            </w:rPr>
            <w:instrText xml:space="preserve"> HYPERLINK \l _Toc19242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_Toc27969 </w:instrText>
          </w:r>
          <w:r>
            <w:rPr>
              <w:bCs/>
            </w:rPr>
            <w:fldChar w:fldCharType="separate"/>
          </w:r>
          <w:r>
            <w:rPr>
              <w:rFonts w:hint="eastAsia" w:ascii="楷体" w:hAnsi="楷体" w:eastAsia="楷体"/>
              <w:bCs/>
            </w:rPr>
            <w:t>玉米与淀粉：</w:t>
          </w:r>
          <w:r>
            <w:rPr>
              <w:rFonts w:hint="eastAsia" w:ascii="楷体" w:hAnsi="楷体" w:eastAsia="楷体"/>
            </w:rPr>
            <w:t>夜盘期价创出新低</w:t>
          </w:r>
          <w:r>
            <w:rPr>
              <w:bCs/>
            </w:rPr>
            <w:fldChar w:fldCharType="end"/>
          </w:r>
        </w:p>
        <w:p>
          <w:pPr>
            <w:pStyle w:val="74"/>
            <w:tabs>
              <w:tab w:val="right" w:leader="dot" w:pos="8306"/>
            </w:tabs>
          </w:pPr>
          <w:r>
            <w:rPr>
              <w:bCs/>
            </w:rPr>
            <w:fldChar w:fldCharType="begin"/>
          </w:r>
          <w:r>
            <w:rPr>
              <w:bCs/>
            </w:rPr>
            <w:instrText xml:space="preserve"> HYPERLINK \l _Toc17228 </w:instrText>
          </w:r>
          <w:r>
            <w:rPr>
              <w:bCs/>
            </w:rPr>
            <w:fldChar w:fldCharType="separate"/>
          </w:r>
          <w:r>
            <w:rPr>
              <w:rFonts w:hint="eastAsia" w:ascii="楷体" w:hAnsi="楷体" w:eastAsia="楷体"/>
              <w:bCs/>
            </w:rPr>
            <w:t>畜禽养殖：鸡蛋现货带动近月期价下跌</w:t>
          </w:r>
          <w:r>
            <w:rPr>
              <w:bCs/>
            </w:rPr>
            <w:fldChar w:fldCharType="end"/>
          </w:r>
        </w:p>
        <w:p>
          <w:pPr>
            <w:pStyle w:val="74"/>
            <w:tabs>
              <w:tab w:val="right" w:leader="dot" w:pos="8306"/>
            </w:tabs>
          </w:pPr>
          <w:r>
            <w:rPr>
              <w:bCs/>
            </w:rPr>
            <w:fldChar w:fldCharType="begin"/>
          </w:r>
          <w:r>
            <w:rPr>
              <w:bCs/>
            </w:rPr>
            <w:instrText xml:space="preserve"> HYPERLINK \l _Toc5479 </w:instrText>
          </w:r>
          <w:r>
            <w:rPr>
              <w:bCs/>
            </w:rPr>
            <w:fldChar w:fldCharType="separate"/>
          </w:r>
          <w:r>
            <w:rPr>
              <w:rFonts w:hint="eastAsia" w:ascii="楷体" w:hAnsi="楷体" w:eastAsia="楷体"/>
              <w:bCs/>
            </w:rPr>
            <w:t>白糖：区间波段式震荡整理</w:t>
          </w:r>
          <w:r>
            <w:rPr>
              <w:bCs/>
            </w:rPr>
            <w:fldChar w:fldCharType="end"/>
          </w:r>
        </w:p>
        <w:p>
          <w:pPr>
            <w:pStyle w:val="74"/>
            <w:tabs>
              <w:tab w:val="right" w:leader="dot" w:pos="8306"/>
            </w:tabs>
          </w:pPr>
          <w:r>
            <w:rPr>
              <w:bCs/>
            </w:rPr>
            <w:fldChar w:fldCharType="begin"/>
          </w:r>
          <w:r>
            <w:rPr>
              <w:bCs/>
            </w:rPr>
            <w:instrText xml:space="preserve"> HYPERLINK \l _Toc18124 </w:instrText>
          </w:r>
          <w:r>
            <w:rPr>
              <w:bCs/>
            </w:rPr>
            <w:fldChar w:fldCharType="separate"/>
          </w:r>
          <w:r>
            <w:rPr>
              <w:rFonts w:hint="eastAsia" w:ascii="楷体" w:hAnsi="楷体" w:eastAsia="楷体"/>
              <w:bCs/>
            </w:rPr>
            <w:t>棉花：预计郑棉震荡偏弱，观望</w:t>
          </w:r>
          <w:r>
            <w:rPr>
              <w:bCs/>
            </w:rPr>
            <w:fldChar w:fldCharType="end"/>
          </w:r>
        </w:p>
        <w:p>
          <w:pPr>
            <w:pStyle w:val="74"/>
            <w:tabs>
              <w:tab w:val="right" w:leader="dot" w:pos="8306"/>
            </w:tabs>
          </w:pPr>
          <w:r>
            <w:rPr>
              <w:bCs/>
            </w:rPr>
            <w:fldChar w:fldCharType="begin"/>
          </w:r>
          <w:r>
            <w:rPr>
              <w:bCs/>
            </w:rPr>
            <w:instrText xml:space="preserve"> HYPERLINK \l _Toc3631 </w:instrText>
          </w:r>
          <w:r>
            <w:rPr>
              <w:bCs/>
            </w:rPr>
            <w:fldChar w:fldCharType="separate"/>
          </w:r>
          <w:r>
            <w:rPr>
              <w:rFonts w:hint="eastAsia" w:ascii="楷体" w:hAnsi="楷体" w:eastAsia="楷体"/>
              <w:bCs/>
            </w:rPr>
            <w:t>蛋白粕：美豆冲高回落，粕类跟跌</w:t>
          </w:r>
          <w:r>
            <w:rPr>
              <w:bCs/>
            </w:rPr>
            <w:fldChar w:fldCharType="end"/>
          </w:r>
        </w:p>
        <w:p>
          <w:pPr>
            <w:pStyle w:val="74"/>
            <w:tabs>
              <w:tab w:val="right" w:leader="dot" w:pos="8306"/>
            </w:tabs>
          </w:pPr>
          <w:r>
            <w:rPr>
              <w:bCs/>
            </w:rPr>
            <w:fldChar w:fldCharType="begin"/>
          </w:r>
          <w:r>
            <w:rPr>
              <w:bCs/>
            </w:rPr>
            <w:instrText xml:space="preserve"> HYPERLINK \l _Toc27971 </w:instrText>
          </w:r>
          <w:r>
            <w:rPr>
              <w:bCs/>
            </w:rPr>
            <w:fldChar w:fldCharType="separate"/>
          </w:r>
          <w:r>
            <w:rPr>
              <w:rFonts w:hint="eastAsia" w:ascii="楷体" w:hAnsi="楷体" w:eastAsia="楷体"/>
              <w:bCs/>
            </w:rPr>
            <w:t>油脂类：多头热情降温，油脂期价全线回落，棕榈油领跌</w:t>
          </w:r>
          <w:r>
            <w:rPr>
              <w:bCs/>
            </w:rPr>
            <w:fldChar w:fldCharType="end"/>
          </w:r>
        </w:p>
        <w:p>
          <w:pPr>
            <w:pStyle w:val="59"/>
            <w:tabs>
              <w:tab w:val="right" w:leader="dot" w:pos="8306"/>
            </w:tabs>
          </w:pPr>
          <w:r>
            <w:rPr>
              <w:bCs/>
            </w:rPr>
            <w:fldChar w:fldCharType="begin"/>
          </w:r>
          <w:r>
            <w:rPr>
              <w:bCs/>
            </w:rPr>
            <w:instrText xml:space="preserve"> HYPERLINK \l _Toc6273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_Toc17605 </w:instrText>
          </w:r>
          <w:r>
            <w:rPr>
              <w:bCs/>
            </w:rPr>
            <w:fldChar w:fldCharType="separate"/>
          </w:r>
          <w:r>
            <w:rPr>
              <w:rFonts w:hint="eastAsia" w:ascii="Times New Roman" w:hAnsi="Times New Roman" w:eastAsia="楷体"/>
              <w:szCs w:val="24"/>
            </w:rPr>
            <w:t>集运指数（欧线）：期市弱势反弹后预计弱震荡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4424"/>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894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弱势震荡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大盘全天无抵抗式下跌，下午2点后没有大资金入场背景下开始加速下跌，市场情绪较弱。三中全会整体定调着眼于中长期，对中国经济改革和未来发展具有重要意义，往往有助于推动市场风险偏好提升。市场短期交易或更需要着眼于当下的政策，需看到国内中期基本面改善清晰度，加之海外大选要在Q4才会尘埃落定，故对Q3仍维持弱势震荡，存在结构性机会的观点。</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943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5291"/>
      <w:r>
        <w:rPr>
          <w:rFonts w:hint="eastAsia" w:ascii="Times New Roman" w:hAnsi="Times New Roman" w:eastAsia="楷体"/>
          <w:b/>
          <w:color w:val="000000" w:themeColor="text1"/>
          <w:sz w:val="24"/>
          <w:szCs w:val="24"/>
          <w14:textFill>
            <w14:solidFill>
              <w14:schemeClr w14:val="tx1"/>
            </w14:solidFill>
          </w14:textFill>
        </w:rPr>
        <w:t>贵金属：美国标普制造业PMI低于预期，贵金属窄幅震荡</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0.08%至567.22元/克，沪银跌0.13%至7614元/千克。欧元区7月消费者信心指数初值为-13.0，预期-13.4，6月终值-14.0。加拿大央行降息25个基点至4.5%，为连续第二次降息，符合市场预期。美国7月标普全球制造业PMI初值49.5，低于预期的51.7和前值51.6；服务业PMI初值56，综合PMI初值55，高于预期且为两年多以来新高。欧元区7月制造业PMI初值略微下降至45.6，低于预期的46.1；服务业PMI初值下降至51.9，综合PMI初值下降至50.1。海外市场预期美联储或于9月启动降息，建议贵金属中长线维持偏多思路。</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711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4055"/>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碳酸锂：Pilbara二季度锂精矿产量上升，期价小幅下跌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略微低开后偏弱震荡，11合约收跌2.19%至86900元/吨。Pilbara二季度报告显示，今年二季度生产锂精矿22.62万吨，环比增26%，同比增39%；回收率提高，单位运营成本下降。海关数据显示，6月国内进口锂精矿约52.24万吨，环比减少7.7%；其中从澳大利亚进口锂精矿约34.95万吨，占比67%。上游维持挺价情绪，下游询价意愿较弱、暂以观望为主。碳酸锂供应维持充足，基本面维持供强需弱，上方面临9万元/吨整数关口附近压力，期价或仍维持偏弱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3955"/>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铝价承压偏弱运行，观望为主</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衰退交易逻辑仍在运行，年内有联储降息预期，降息消息公布前市场情绪预计保持低迷。基本面上看国内矿端现状依旧吃紧，电解铝供应高位，内需临近金九银十有边际修复预期，外需表现相对旺盛。目前铝价受大宏观逻辑驱动走弱，沪铝价格跌破19500支撑，技术图形上看暂未见到明显止跌信号，短期铝价承压运行，实际基本面表现仍有支撑，建议观望下跌底部形成。</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221"/>
      <w:r>
        <w:rPr>
          <w:rFonts w:hint="eastAsia" w:ascii="楷体" w:hAnsi="楷体" w:eastAsia="楷体"/>
          <w:b/>
          <w:color w:val="000000" w:themeColor="text1"/>
          <w:sz w:val="24"/>
          <w:szCs w:val="24"/>
          <w14:textFill>
            <w14:solidFill>
              <w14:schemeClr w14:val="tx1"/>
            </w14:solidFill>
          </w14:textFill>
        </w:rPr>
        <w:t>锌：锌价承压运行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7月标普制造业数据不及预期，海外经济衰退，宏观情绪偏弱。锌矿TC加工费屡破新低，原料紧缺格局无明显改善，国内矿产增量较少，海外矿进口量受海外部分冶炼厂复产影响可能进一步收缩，部分冶炼厂因生产利润不足主动减停，1-6月精炼锌产量同比下降1.39%，厂内原料库存低位，需求上看，淡季表现平平但无超预期下行，金三银四即将到来消费有提振预期，锌价下破前低支撑反弹乏力，价格波动剧烈，建议先观望价格走势。</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9646"/>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：跌势或放缓</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(1)宏观：美国7月标普全球服务业PMI初值录得56，为2022年3月以来新高。美国7月标普全球制造业PMI初值录得49.5，为2023年12月以来新低。</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(2)库存：7月24日，SHFE仓单库存221016吨，减3036吨；LME仓单库存241750吨，增5050吨。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(3)精废价差：7月24日，Mysteel精废价差1538，扩张49。目前价差在合理价差1447之上。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综述：宏观层面，美大选摇摆不定，全球经济走弱，有色板块及国内股市均持续下跌，整体市场情绪仍偏空。基本面，今年持续交易矿紧但精炼铜一直处于偏过剩状态，</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LME库存近期延续回升态势给价格带来一定压力，但价格下跌后国内库存去化节奏加快，关注持续性，短期价格延续弱势，但跌势或放缓。</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3512"/>
      <w:r>
        <w:rPr>
          <w:rFonts w:hint="eastAsia" w:ascii="楷体" w:hAnsi="楷体" w:eastAsia="楷体"/>
          <w:b/>
          <w:color w:val="000000" w:themeColor="text1"/>
          <w:sz w:val="24"/>
          <w:szCs w:val="24"/>
          <w14:textFill>
            <w14:solidFill>
              <w14:schemeClr w14:val="tx1"/>
            </w14:solidFill>
          </w14:textFill>
        </w:rPr>
        <w:t>镍：预计短期镍价偏弱整理为主</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7月标普制造业指数不及预期，体现经济走弱压力，宏观情绪预计偏空。镍矿方面，目前印尼镍矿流通资源仍偏紧，印尼镍矿内贸升水居高不下。原料方面，镍铁价格坚挺，硫酸镍厂家在亏损状态下挺价情绪较强，预计硫酸镍价格弱稳为主。供应方面，由于精炼镍出口利润收窄，国产电积镍品牌出口势头放缓，国内精炼镍现货资源偏紧问题缓解。需求方面，近日下游成交氛围边际好转，但终端需求疲软。库存方面，上周社库降幅3.18%，LME镍库存维持趋势性累库。综合而言，镍过剩格局持续，镍价中长期下行周期并未结束，但从短期来看，印尼镍矿现货偏紧带来底部支撑，原料端负反馈程度有限，当前镍价已临近高冰镍一体化生产成本，镍价或跟随宏观情绪而偏弱整理，短期建议暂观望。</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1450"/>
      <w:r>
        <w:rPr>
          <w:rFonts w:hint="eastAsia" w:ascii="楷体" w:hAnsi="楷体" w:eastAsia="楷体"/>
          <w:b/>
          <w:color w:val="000000" w:themeColor="text1"/>
          <w:sz w:val="24"/>
          <w:szCs w:val="24"/>
          <w14:textFill>
            <w14:solidFill>
              <w14:schemeClr w14:val="tx1"/>
            </w14:solidFill>
          </w14:textFill>
        </w:rPr>
        <w:t>不锈钢：供需压力下，向上驱动不足</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7月标普制造业指数低于预期，预计市场继续计价经济衰退逻辑。镍矿方面，7月23日印尼能矿部官员表示政府已通过2024年度镍矿RKAB约2.4亿湿吨，但由于行政审批到实际供应之间的时滞，目前印尼镍矿流通资源仍偏紧，印尼镍矿内贸升水维持高位。镍铁方面，近日高镍铁成交价格上调至980-995元/镍（出厂含税），给予市场关于不锈钢成本底部确认的信号。供需方面，市场成交氛围虽有改善但空间不大，供需过剩格局下社会库存维持累库。仓单方面，仓单库存下降数量超5万吨，使市场信心有所改善，但在淡季行情中，下游对仓单资源消化能力有限，或对社会库存带来继续累库压力。综合而言，鉴于印尼镍矿供应偏紧，镍铁产量边际收窄且价格坚挺，加上不锈钢低估值属性，预计短期不锈钢价格下方支撑较强，但需求疲软、社库累积的基本面对价格施压，加上宏观氛围偏空，期价反弹驱动不足，有效反弹需等待宏观情绪好转带来共振或者钢厂减产力度加大。操作上关注低多机会。</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774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大厂再度下调报价，对盘面或构成压力</w:t>
      </w:r>
      <w:bookmarkEnd w:id="25"/>
    </w:p>
    <w:p>
      <w:pPr>
        <w:ind w:left="630" w:leftChars="300"/>
        <w:rPr>
          <w:rFonts w:ascii="楷体" w:hAnsi="楷体" w:eastAsia="楷体"/>
          <w:sz w:val="24"/>
          <w:szCs w:val="24"/>
        </w:rPr>
      </w:pPr>
      <w:r>
        <w:rPr>
          <w:rFonts w:hint="eastAsia" w:ascii="楷体" w:hAnsi="楷体" w:eastAsia="楷体"/>
          <w:sz w:val="24"/>
          <w:szCs w:val="24"/>
        </w:rPr>
        <w:t>7月24日，Si2409主力合约呈下行走势，收盘价10235元/吨，较上一收盘价涨跌幅-0.82%，受大厂再度下调现货报价，尾盘出现明显回落。从基本面来看，主产区整体处于开工高位，部分高成本地区小幅减产，但影响相对有限，而下游核心需求多晶硅此前减产产能恢复不及预期，后续对工业硅需求或仍有进一步下降预期。目前，盘面价格屡破新低，期现商低价出货，但需求并未出现明显放量，工厂库存压力下也存在降价出货，近期大厂已连续大幅下调现货报价，对盘面构成较大压力。若主产区持续处于高开工，在需求疲软情况下，或进一步加剧宽松格局，后续仍有下跌的风险。策略上，谨慎资金暂时观望，激进资金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2133"/>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404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原料价格止跌企稳再度验证 橡胶下方空间有限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震荡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602"/>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399"/>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厂家利润较低下行空间不大，期货市场或保持弱震荡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昨夜盘主力合约2409窄幅震荡，收于1419元/吨。</w:t>
      </w:r>
    </w:p>
    <w:p>
      <w:pPr>
        <w:ind w:left="630" w:leftChars="300"/>
        <w:rPr>
          <w:rFonts w:hint="eastAsia" w:ascii="楷体" w:hAnsi="楷体" w:eastAsia="楷体"/>
          <w:sz w:val="24"/>
          <w:szCs w:val="24"/>
        </w:rPr>
      </w:pPr>
      <w:r>
        <w:rPr>
          <w:rFonts w:hint="eastAsia" w:ascii="楷体" w:hAnsi="楷体" w:eastAsia="楷体"/>
          <w:sz w:val="24"/>
          <w:szCs w:val="24"/>
        </w:rPr>
        <w:t>现货方面，浮法玻璃华北玻璃大板跌低位至1430元/吨、河北沙河大板现货降至1340元/吨，稳步下行。库存方面，玻璃在产企业总库存为6513.56万重量箱，环比上周上升155.26万重量箱。</w:t>
      </w:r>
    </w:p>
    <w:p>
      <w:pPr>
        <w:ind w:left="630" w:leftChars="300"/>
        <w:rPr>
          <w:rFonts w:hint="eastAsia" w:ascii="楷体" w:hAnsi="楷体" w:eastAsia="楷体"/>
          <w:sz w:val="24"/>
          <w:szCs w:val="24"/>
        </w:rPr>
      </w:pPr>
      <w:r>
        <w:rPr>
          <w:rFonts w:hint="eastAsia" w:ascii="楷体" w:hAnsi="楷体" w:eastAsia="楷体"/>
          <w:sz w:val="24"/>
          <w:szCs w:val="24"/>
        </w:rPr>
        <w:t>大多数企业库存增加，原因包括沙河部分企业价格下调、梅雨季和雨季影响、出货欠佳及外围价格下滑。华南市场除个别企业月底冲刺导致库存下降外，多数企业库存增加。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总体来看，目前市场情绪较弱，许多厂家以低于成本的价格出货。下游需求不足且处于累库阶段，预计短期玻璃将于1350上方弱势震荡，建议观望。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31808"/>
      <w:r>
        <w:rPr>
          <w:rFonts w:hint="eastAsia" w:ascii="Times New Roman" w:hAnsi="Times New Roman" w:eastAsia="楷体"/>
          <w:b/>
          <w:color w:val="000000" w:themeColor="text1"/>
          <w:sz w:val="24"/>
          <w:szCs w:val="24"/>
          <w14:textFill>
            <w14:solidFill>
              <w14:schemeClr w14:val="tx1"/>
            </w14:solidFill>
          </w14:textFill>
        </w:rPr>
        <w:t>纯碱：现货下跌保持疲弱，短期或仍存下探空间</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昨夜盘主力合约弱势盘整收盘于1869元/吨。</w:t>
      </w:r>
    </w:p>
    <w:p>
      <w:pPr>
        <w:ind w:left="630" w:leftChars="300"/>
        <w:rPr>
          <w:rFonts w:hint="eastAsia" w:ascii="楷体" w:hAnsi="楷体" w:eastAsia="楷体"/>
          <w:sz w:val="24"/>
          <w:szCs w:val="24"/>
        </w:rPr>
      </w:pPr>
      <w:r>
        <w:rPr>
          <w:rFonts w:hint="eastAsia" w:ascii="楷体" w:hAnsi="楷体" w:eastAsia="楷体"/>
          <w:sz w:val="24"/>
          <w:szCs w:val="24"/>
        </w:rPr>
        <w:t>本周纯碱行业开工约84.9%，环比下跌1.36%。在需求端，玻璃行业等主要下游市场的需求呈现疲软态势。特别是轻碱市场需求明显下滑，出货难度增加。另外楼市尚未出现明显回暖，各线城市房价仍处于环比下降。</w:t>
      </w:r>
    </w:p>
    <w:p>
      <w:pPr>
        <w:ind w:left="630" w:leftChars="300"/>
        <w:rPr>
          <w:rFonts w:hint="eastAsia" w:ascii="楷体" w:hAnsi="楷体" w:eastAsia="楷体"/>
          <w:sz w:val="24"/>
          <w:szCs w:val="24"/>
        </w:rPr>
      </w:pPr>
      <w:r>
        <w:rPr>
          <w:rFonts w:hint="eastAsia" w:ascii="楷体" w:hAnsi="楷体" w:eastAsia="楷体"/>
          <w:sz w:val="24"/>
          <w:szCs w:val="24"/>
        </w:rPr>
        <w:t>目前，供应恢复导致短期预计纯碱现货价格偏弱，纯碱生产成本较低因此盘面上或仍有下探空间，应等待反弹做空机会。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942"/>
      <w:r>
        <w:rPr>
          <w:rFonts w:hint="eastAsia" w:ascii="Times New Roman" w:hAnsi="Times New Roman" w:eastAsia="楷体"/>
          <w:b/>
          <w:color w:val="000000" w:themeColor="text1"/>
          <w:sz w:val="24"/>
          <w:szCs w:val="24"/>
          <w14:textFill>
            <w14:solidFill>
              <w14:schemeClr w14:val="tx1"/>
            </w14:solidFill>
          </w14:textFill>
        </w:rPr>
        <w:t>PTA：供应回归 PTA有累库压力</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近期供应逐步回归，三季度PTA检修计划偏少，随着聚酯负荷下降，PTA有累库压力，但短期现货流通性仍受影响，码头库存积累仍需时间，整体加工费波动空间有限，后续关注PTA是否有计划外检修以及下游聚酯7~8月减产情况。</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14851"/>
      <w:r>
        <w:rPr>
          <w:rFonts w:hint="eastAsia" w:ascii="Times New Roman" w:hAnsi="Times New Roman" w:eastAsia="楷体"/>
          <w:b/>
          <w:color w:val="000000" w:themeColor="text1"/>
          <w:sz w:val="24"/>
          <w:szCs w:val="24"/>
          <w14:textFill>
            <w14:solidFill>
              <w14:schemeClr w14:val="tx1"/>
            </w14:solidFill>
          </w14:textFill>
        </w:rPr>
        <w:t>乙二醇：供需紧平衡为主 短期价格区间震荡表现</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随着兖矿、沃能检修落实，下周起合成气制乙二醇开工率将明显下降。传统装置中仍需关注卫星石化一线重启进度。进口环节来看，下周主港到货表现中性，但三季度仍有下调预期，乙二醇供需结构依旧呈现紧平衡为主。短期来看，乙二醇价格重心多呈现区间震荡为主，低位市场补货需求仍存，后续关注成本以及装置变化。</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19242"/>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hint="eastAsia" w:ascii="楷体" w:hAnsi="楷体" w:eastAsia="楷体"/>
          <w:b/>
        </w:rPr>
      </w:pPr>
      <w:bookmarkStart w:id="35" w:name="_Toc2796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夜盘期价创出新低</w:t>
      </w:r>
      <w:bookmarkEnd w:id="35"/>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国内玉米现货整体弱势，华北产区涨跌互现，东北产区与南方港口稳中有跌，北方港口持稳；玉米期价延续跌势，夜盘多数合约创出新低，远月相对强于近月。对于玉米而言，期价虽有止跌迹象，现货延续弱势，考虑到期价低于北方港口平仓价，更贴近南方销区现货价，这需要市场对此做出判断，究竟是期价大幅下跌带来的提前风控行为，还是只是现货市场崩盘的开始，这背后逻辑重点在于当前年度即旧作是否仍存在产需缺口，我们继续倾向于国家不太可能降价抛储陈化水稻，而在国家增储之后小麦饲用替代量有望大幅下降，随着生猪和蛋禽养殖利润带动畜禽存栏对应饲料需求环比改善，国内旧作玉米产需缺口仍有望逐步显现，继而可能改变新作供需格局，据此我们维持谨慎看多观点，但建议投资者暂以观望为宜，待现货止跌后可考虑入场做多。</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大多稳定，局部地区下跌，期价跟随玉米下跌，但表现略强于玉米，带动淀粉-玉米价差小幅走扩。对于淀粉而言，影响淀粉-玉米价差的三方面因素中，行业供需近期趋于偏空，因行业库存已出现累积迹象；原料成本存在变数，至少近期产区玉米收购价多有下跌；而副产品端有望带来支撑，因美豆带动蛋白粕继续弱势，淀粉副产品缺乏上涨动力，这有望抑制淀粉-玉米价差继续回落空间。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17228"/>
      <w:r>
        <w:rPr>
          <w:rFonts w:hint="eastAsia" w:ascii="楷体" w:hAnsi="楷体" w:eastAsia="楷体"/>
          <w:b/>
          <w:bCs/>
          <w:color w:val="000000" w:themeColor="text1"/>
          <w14:textFill>
            <w14:solidFill>
              <w14:schemeClr w14:val="tx1"/>
            </w14:solidFill>
          </w14:textFill>
        </w:rPr>
        <w:t>畜禽养殖：鸡蛋现货带动近月期价下跌</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生猪现货价格涨跌互现，全国主产区均价上涨0.02元至19.26元，生猪期价震荡分化，9月和11月小幅收跌，其他合约收涨。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已经突破六月高点，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和正套组合。</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鸡蛋现货下跌，主产区均价下跌0.09元至4.37元/斤，主销区均价下跌0.04元至4.60元/斤，鸡蛋期价整体弱势，近月即7月和8月出现较大幅度下跌。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端午节后低点或已经出现，现货已经进入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5479"/>
      <w:r>
        <w:rPr>
          <w:rFonts w:hint="eastAsia" w:ascii="楷体" w:hAnsi="楷体" w:eastAsia="楷体"/>
          <w:b/>
          <w:bCs/>
          <w:color w:val="000000" w:themeColor="text1"/>
          <w14:textFill>
            <w14:solidFill>
              <w14:schemeClr w14:val="tx1"/>
            </w14:solidFill>
          </w14:textFill>
        </w:rPr>
        <w:t>白糖：区间波段式震荡整理</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隔夜外盘纽约原糖主力合约和伦敦白砂糖主力合约分别下跌1.27%和0.49%。据外电7月24日消息，经纪公司 StoneX 周三表示，尽管亚洲糖产量增加，但由于巴西产量大幅减少，预计2024/25年度（10月﹣次年9月）全球糖市供应过剩将比预期少。StoneX 预计巴西中南部2024/25年度糖产量料为4,050万吨，较此前预估的4,230万吨低近200万吨，因今年甘蔗品质较低，且甘蔗用于产糖的数量低于预期。甘蔗压榨量料为6.022亿吨，与此前预估持平。国内在传统旺季的刚需驱使下，终端采购积极性增强，去库存进程加快，库存压力减轻，期价存在一定支撑。但外盘走势带动下，预计远月白糖震荡偏弱，近远走势分化。</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8124"/>
      <w:r>
        <w:rPr>
          <w:rFonts w:hint="eastAsia" w:ascii="楷体" w:hAnsi="楷体" w:eastAsia="楷体"/>
          <w:b/>
          <w:bCs/>
          <w:color w:val="000000" w:themeColor="text1"/>
          <w14:textFill>
            <w14:solidFill>
              <w14:schemeClr w14:val="tx1"/>
            </w14:solidFill>
          </w14:textFill>
        </w:rPr>
        <w:t>棉花：预计郑棉震荡偏弱，观望</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种植天气良好，优良率增加，美棉走势疲弱，隔夜外盘主力下跌1.21%，彻底失守70美分/磅的极重要关口。美国农业部（ USDA ）在每周作物生长报告中公布称，截至2024年7月21日当周，美国棉花优良率为53%，前一周为45%，上年同期为46%。当周，美国棉花结铃率为42%，上一周为27%，上年同期为34%，五年均值为34%。当周，美国棉花现蕾率为81%，上一周为64%，上年同期为74%，五年均值为76%。国内夜盘，郑棉主力下跌0.70%。市场情绪低迷，商品市场普跌。国内部分纺织企业表示近期订单略有好转，但亦有部分纺企开始降价抛售棉纱。受市场情绪，外盘和下游仍在走弱影响，郑棉震荡下行，再创新低。</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3631"/>
      <w:r>
        <w:rPr>
          <w:rFonts w:hint="eastAsia" w:ascii="楷体" w:hAnsi="楷体" w:eastAsia="楷体"/>
          <w:b/>
          <w:bCs/>
          <w:color w:val="000000" w:themeColor="text1"/>
          <w14:textFill>
            <w14:solidFill>
              <w14:schemeClr w14:val="tx1"/>
            </w14:solidFill>
          </w14:textFill>
        </w:rPr>
        <w:t>蛋白粕：美豆冲高回落，粕类跟跌</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下跌1.16%，而此前一天美豆价格达到近两周最高价。基本面依旧疲弱，关注今日公布的周度出口数据。菜籽方面，AAFC上调了新年度加拿大菜籽种植面积及产量。昨日夜盘豆粕上涨0.22%，菜粕下跌0.36%。由于前期榨利表现不错，导致油厂前几个月的船期购买较多，到港量大，供应依旧宽松。豆菜粕价差不断缩小，菜粕消费趋于减少。总体而言，上游油料供应依旧维持供强需弱局面，粕类弱势运行不改，菜系反弹回落，需警惕豆系反弹后回落。</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7971"/>
      <w:r>
        <w:rPr>
          <w:rFonts w:hint="eastAsia" w:ascii="楷体" w:hAnsi="楷体" w:eastAsia="楷体"/>
          <w:b/>
          <w:bCs/>
          <w:color w:val="000000" w:themeColor="text1"/>
          <w14:textFill>
            <w14:solidFill>
              <w14:schemeClr w14:val="tx1"/>
            </w14:solidFill>
          </w14:textFill>
        </w:rPr>
        <w:t>油脂类：多头热情降温，油脂期价全线回落，棕榈油领跌</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主力下跌0.44%，菜油下跌0.68%，棕榈油下跌1.04%，棕榈油持续较大跌幅。大豆丰产预期不变叠加原油回调，豆油偏弱运行；加拿大农业部上调新年度菜籽种植面积及产量；MPOA周三公布数据显示7月1日-20日马棕油产量环比增加14.95%，起利空作用盖过出口强劲的利多因素。目前国内需求淡季持续累库，期价依旧偏弱运行。</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1" w:name="_Toc6273"/>
      <w:r>
        <w:rPr>
          <w:rFonts w:hint="eastAsia" w:ascii="Times New Roman" w:hAnsi="Times New Roman" w:eastAsia="楷体"/>
          <w:b/>
          <w:color w:val="823C0B"/>
          <w:sz w:val="30"/>
          <w:szCs w:val="30"/>
        </w:rPr>
        <w:t>[指数]</w:t>
      </w:r>
      <w:bookmarkEnd w:id="41"/>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2" w:name="_Toc17605"/>
      <w:r>
        <w:rPr>
          <w:rFonts w:hint="eastAsia" w:ascii="Times New Roman" w:hAnsi="Times New Roman" w:eastAsia="楷体"/>
          <w:b/>
          <w:color w:val="000000" w:themeColor="text1"/>
          <w:sz w:val="24"/>
          <w:szCs w:val="24"/>
          <w14:textFill>
            <w14:solidFill>
              <w14:schemeClr w14:val="tx1"/>
            </w14:solidFill>
          </w14:textFill>
        </w:rPr>
        <w:t>集运指数（欧线）：期市弱势反弹后预计弱震荡</w:t>
      </w:r>
      <w:bookmarkEnd w:id="42"/>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7月15日，SCFIS欧线指数环比上涨10.5%至6002.23点。7月19日，上海港出口至欧洲基本港市场运价（海运及海运附加费）为3542.44美元/TEU，较上期回落3.6%，再次下跌。短期内运输需求继续维持在高位，但由于中欧贸易面临政策不确定性的考验，即期市场订舱价格小幅回落。</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地缘方面，巴勒斯坦法塔赫和哈马斯在京谈判达成《北京宣言》以两国方案为基础，但整体对市场刺激不算太大。</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需求端来看，据研究机构ZEW发布的数据显示，欧元区7月ZEW经济景气指数为43.7，低于前值及市场预期。其中，德国7月ZEW经济景气指数降至 41.8，是四个月以来的最低水平，显示出欧洲经济复苏的前景并不稳固。</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总体来看，由于SCFI指数连续回落期市连续下行，短期有所反弹但不宜过于乐观，留意短期风险，建议投资者谨慎操作。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98426751"/>
      <w:bookmarkStart w:id="44" w:name="_Toc72481108"/>
      <w:bookmarkStart w:id="45" w:name="_Toc71212556"/>
      <w:bookmarkStart w:id="46" w:name="_Toc19667"/>
      <w:bookmarkStart w:id="47" w:name="_Toc12779"/>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2024年7月25日星期四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412AB7"/>
    <w:rsid w:val="2FA14A50"/>
    <w:rsid w:val="2FA70F17"/>
    <w:rsid w:val="30CB447B"/>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AF4829"/>
    <w:rsid w:val="4FBA2B77"/>
    <w:rsid w:val="4FD46E6F"/>
    <w:rsid w:val="5005695E"/>
    <w:rsid w:val="50286811"/>
    <w:rsid w:val="50700F42"/>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3735B47"/>
    <w:rsid w:val="63FF1EA7"/>
    <w:rsid w:val="64C32497"/>
    <w:rsid w:val="669D0EEA"/>
    <w:rsid w:val="66B64FC1"/>
    <w:rsid w:val="66C861F9"/>
    <w:rsid w:val="66D04BBC"/>
    <w:rsid w:val="67655BF9"/>
    <w:rsid w:val="678C3343"/>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2024-07-25T01:59:30Z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