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_Toc2735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_Toc21750 </w:instrText>
          </w:r>
          <w:r>
            <w:rPr>
              <w:bCs/>
            </w:rPr>
            <w:fldChar w:fldCharType="separate"/>
          </w:r>
          <w:r>
            <w:rPr>
              <w:rFonts w:hint="eastAsia" w:ascii="Times New Roman" w:hAnsi="Times New Roman" w:eastAsia="楷体"/>
              <w:szCs w:val="24"/>
            </w:rPr>
            <w:t>股指：弱势震荡</w:t>
          </w:r>
          <w:r>
            <w:rPr>
              <w:bCs/>
            </w:rPr>
            <w:fldChar w:fldCharType="end"/>
          </w:r>
        </w:p>
        <w:p>
          <w:pPr>
            <w:pStyle w:val="59"/>
            <w:tabs>
              <w:tab w:val="right" w:leader="dot" w:pos="8306"/>
            </w:tabs>
          </w:pPr>
          <w:r>
            <w:rPr>
              <w:bCs/>
            </w:rPr>
            <w:fldChar w:fldCharType="begin"/>
          </w:r>
          <w:r>
            <w:rPr>
              <w:bCs/>
            </w:rPr>
            <w:instrText xml:space="preserve"> HYPERLINK \l _Toc3917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_Toc1585 </w:instrText>
          </w:r>
          <w:r>
            <w:rPr>
              <w:bCs/>
            </w:rPr>
            <w:fldChar w:fldCharType="separate"/>
          </w:r>
          <w:r>
            <w:rPr>
              <w:rFonts w:hint="eastAsia" w:ascii="Times New Roman" w:hAnsi="Times New Roman" w:eastAsia="楷体"/>
              <w:szCs w:val="24"/>
            </w:rPr>
            <w:t>贵金属：避险情绪略微升温，贵金属窄幅震荡</w:t>
          </w:r>
          <w:r>
            <w:rPr>
              <w:bCs/>
            </w:rPr>
            <w:fldChar w:fldCharType="end"/>
          </w:r>
        </w:p>
        <w:p>
          <w:pPr>
            <w:pStyle w:val="59"/>
            <w:tabs>
              <w:tab w:val="right" w:leader="dot" w:pos="8306"/>
            </w:tabs>
          </w:pPr>
          <w:r>
            <w:rPr>
              <w:bCs/>
            </w:rPr>
            <w:fldChar w:fldCharType="begin"/>
          </w:r>
          <w:r>
            <w:rPr>
              <w:bCs/>
            </w:rPr>
            <w:instrText xml:space="preserve"> HYPERLINK \l _Toc7037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_Toc27290 </w:instrText>
          </w:r>
          <w:r>
            <w:rPr>
              <w:bCs/>
            </w:rPr>
            <w:fldChar w:fldCharType="separate"/>
          </w:r>
          <w:r>
            <w:rPr>
              <w:rFonts w:hint="eastAsia" w:ascii="楷体" w:hAnsi="楷体" w:eastAsia="楷体"/>
              <w:szCs w:val="24"/>
            </w:rPr>
            <w:t>碳酸锂：现货价格持平，期价横盘震荡</w:t>
          </w:r>
          <w:r>
            <w:rPr>
              <w:bCs/>
            </w:rPr>
            <w:fldChar w:fldCharType="end"/>
          </w:r>
        </w:p>
        <w:p>
          <w:pPr>
            <w:pStyle w:val="74"/>
            <w:tabs>
              <w:tab w:val="right" w:leader="dot" w:pos="8306"/>
            </w:tabs>
          </w:pPr>
          <w:r>
            <w:rPr>
              <w:bCs/>
            </w:rPr>
            <w:fldChar w:fldCharType="begin"/>
          </w:r>
          <w:r>
            <w:rPr>
              <w:bCs/>
            </w:rPr>
            <w:instrText xml:space="preserve"> HYPERLINK \l _Toc6513 </w:instrText>
          </w:r>
          <w:r>
            <w:rPr>
              <w:bCs/>
            </w:rPr>
            <w:fldChar w:fldCharType="separate"/>
          </w:r>
          <w:r>
            <w:rPr>
              <w:rFonts w:hint="eastAsia" w:ascii="楷体" w:hAnsi="楷体" w:eastAsia="楷体"/>
              <w:szCs w:val="24"/>
            </w:rPr>
            <w:t>铝：市场情绪趋弱，铝价破位下跌</w:t>
          </w:r>
          <w:r>
            <w:rPr>
              <w:bCs/>
            </w:rPr>
            <w:fldChar w:fldCharType="end"/>
          </w:r>
        </w:p>
        <w:p>
          <w:pPr>
            <w:pStyle w:val="74"/>
            <w:tabs>
              <w:tab w:val="right" w:leader="dot" w:pos="8306"/>
            </w:tabs>
          </w:pPr>
          <w:r>
            <w:rPr>
              <w:bCs/>
            </w:rPr>
            <w:fldChar w:fldCharType="begin"/>
          </w:r>
          <w:r>
            <w:rPr>
              <w:bCs/>
            </w:rPr>
            <w:instrText xml:space="preserve"> HYPERLINK \l _Toc7377 </w:instrText>
          </w:r>
          <w:r>
            <w:rPr>
              <w:bCs/>
            </w:rPr>
            <w:fldChar w:fldCharType="separate"/>
          </w:r>
          <w:r>
            <w:rPr>
              <w:rFonts w:hint="eastAsia" w:ascii="楷体" w:hAnsi="楷体" w:eastAsia="楷体"/>
              <w:szCs w:val="24"/>
            </w:rPr>
            <w:t>锌：锌价偏弱运行，关注23200一线支撑</w:t>
          </w:r>
          <w:r>
            <w:rPr>
              <w:bCs/>
            </w:rPr>
            <w:fldChar w:fldCharType="end"/>
          </w:r>
        </w:p>
        <w:p>
          <w:pPr>
            <w:pStyle w:val="74"/>
            <w:tabs>
              <w:tab w:val="right" w:leader="dot" w:pos="8306"/>
            </w:tabs>
          </w:pPr>
          <w:r>
            <w:rPr>
              <w:bCs/>
            </w:rPr>
            <w:fldChar w:fldCharType="begin"/>
          </w:r>
          <w:r>
            <w:rPr>
              <w:bCs/>
            </w:rPr>
            <w:instrText xml:space="preserve"> HYPERLINK \l _Toc30131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：宏观主导盘面，铜价延续弱势</w:t>
          </w:r>
          <w:r>
            <w:rPr>
              <w:bCs/>
            </w:rPr>
            <w:fldChar w:fldCharType="end"/>
          </w:r>
        </w:p>
        <w:p>
          <w:pPr>
            <w:pStyle w:val="74"/>
            <w:tabs>
              <w:tab w:val="right" w:leader="dot" w:pos="8306"/>
            </w:tabs>
          </w:pPr>
          <w:r>
            <w:rPr>
              <w:bCs/>
            </w:rPr>
            <w:fldChar w:fldCharType="begin"/>
          </w:r>
          <w:r>
            <w:rPr>
              <w:bCs/>
            </w:rPr>
            <w:instrText xml:space="preserve"> HYPERLINK \l _Toc18939 </w:instrText>
          </w:r>
          <w:r>
            <w:rPr>
              <w:bCs/>
            </w:rPr>
            <w:fldChar w:fldCharType="separate"/>
          </w:r>
          <w:r>
            <w:rPr>
              <w:rFonts w:hint="eastAsia" w:ascii="楷体" w:hAnsi="楷体" w:eastAsia="楷体"/>
              <w:szCs w:val="24"/>
            </w:rPr>
            <w:t>镍：预计短期镍价偏弱整理为主</w:t>
          </w:r>
          <w:r>
            <w:rPr>
              <w:bCs/>
            </w:rPr>
            <w:fldChar w:fldCharType="end"/>
          </w:r>
        </w:p>
        <w:p>
          <w:pPr>
            <w:pStyle w:val="74"/>
            <w:tabs>
              <w:tab w:val="right" w:leader="dot" w:pos="8306"/>
            </w:tabs>
          </w:pPr>
          <w:r>
            <w:rPr>
              <w:bCs/>
            </w:rPr>
            <w:fldChar w:fldCharType="begin"/>
          </w:r>
          <w:r>
            <w:rPr>
              <w:bCs/>
            </w:rPr>
            <w:instrText xml:space="preserve"> HYPERLINK \l _Toc22669 </w:instrText>
          </w:r>
          <w:r>
            <w:rPr>
              <w:bCs/>
            </w:rPr>
            <w:fldChar w:fldCharType="separate"/>
          </w:r>
          <w:r>
            <w:rPr>
              <w:rFonts w:hint="eastAsia" w:ascii="楷体" w:hAnsi="楷体" w:eastAsia="楷体"/>
              <w:szCs w:val="24"/>
            </w:rPr>
            <w:t>不锈钢：成本支撑与供需压力交织，价格弹性较小</w:t>
          </w:r>
          <w:r>
            <w:rPr>
              <w:bCs/>
            </w:rPr>
            <w:fldChar w:fldCharType="end"/>
          </w:r>
        </w:p>
        <w:p>
          <w:pPr>
            <w:pStyle w:val="74"/>
            <w:tabs>
              <w:tab w:val="right" w:leader="dot" w:pos="8306"/>
            </w:tabs>
          </w:pPr>
          <w:r>
            <w:rPr>
              <w:bCs/>
            </w:rPr>
            <w:fldChar w:fldCharType="begin"/>
          </w:r>
          <w:r>
            <w:rPr>
              <w:bCs/>
            </w:rPr>
            <w:instrText xml:space="preserve"> HYPERLINK \l _Toc20997 </w:instrText>
          </w:r>
          <w:r>
            <w:rPr>
              <w:bCs/>
            </w:rPr>
            <w:fldChar w:fldCharType="separate"/>
          </w:r>
          <w:r>
            <w:rPr>
              <w:rFonts w:hint="eastAsia" w:ascii="楷体" w:hAnsi="楷体" w:eastAsia="楷体"/>
              <w:szCs w:val="24"/>
            </w:rPr>
            <w:t>工业硅：市场情绪转弱，盘面承压下行</w:t>
          </w:r>
          <w:r>
            <w:rPr>
              <w:bCs/>
            </w:rPr>
            <w:fldChar w:fldCharType="end"/>
          </w:r>
        </w:p>
        <w:p>
          <w:pPr>
            <w:pStyle w:val="59"/>
            <w:tabs>
              <w:tab w:val="right" w:leader="dot" w:pos="8306"/>
            </w:tabs>
          </w:pPr>
          <w:r>
            <w:rPr>
              <w:bCs/>
            </w:rPr>
            <w:fldChar w:fldCharType="begin"/>
          </w:r>
          <w:r>
            <w:rPr>
              <w:bCs/>
            </w:rPr>
            <w:instrText xml:space="preserve"> HYPERLINK \l _Toc24513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_Toc19216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原料价格止跌企稳再度验证 橡胶下方空间有限</w:t>
          </w:r>
          <w:r>
            <w:rPr>
              <w:bCs/>
            </w:rPr>
            <w:fldChar w:fldCharType="end"/>
          </w:r>
        </w:p>
        <w:p>
          <w:pPr>
            <w:pStyle w:val="74"/>
            <w:tabs>
              <w:tab w:val="right" w:leader="dot" w:pos="8306"/>
            </w:tabs>
          </w:pPr>
          <w:r>
            <w:rPr>
              <w:bCs/>
            </w:rPr>
            <w:fldChar w:fldCharType="begin"/>
          </w:r>
          <w:r>
            <w:rPr>
              <w:bCs/>
            </w:rPr>
            <w:instrText xml:space="preserve"> HYPERLINK \l _Toc711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_Toc2343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累库持续现货受压，期货市场或保持弱震荡</w:t>
          </w:r>
          <w:r>
            <w:rPr>
              <w:bCs/>
            </w:rPr>
            <w:fldChar w:fldCharType="end"/>
          </w:r>
        </w:p>
        <w:p>
          <w:pPr>
            <w:pStyle w:val="74"/>
            <w:tabs>
              <w:tab w:val="right" w:leader="dot" w:pos="8306"/>
            </w:tabs>
          </w:pPr>
          <w:r>
            <w:rPr>
              <w:bCs/>
            </w:rPr>
            <w:fldChar w:fldCharType="begin"/>
          </w:r>
          <w:r>
            <w:rPr>
              <w:bCs/>
            </w:rPr>
            <w:instrText xml:space="preserve"> HYPERLINK \l _Toc24106 </w:instrText>
          </w:r>
          <w:r>
            <w:rPr>
              <w:bCs/>
            </w:rPr>
            <w:fldChar w:fldCharType="separate"/>
          </w:r>
          <w:r>
            <w:rPr>
              <w:rFonts w:hint="eastAsia" w:ascii="Times New Roman" w:hAnsi="Times New Roman" w:eastAsia="楷体"/>
              <w:szCs w:val="24"/>
            </w:rPr>
            <w:t>纯碱：需求不足现价疲弱，未来或维持弱震</w:t>
          </w:r>
          <w:r>
            <w:rPr>
              <w:bCs/>
            </w:rPr>
            <w:fldChar w:fldCharType="end"/>
          </w:r>
        </w:p>
        <w:p>
          <w:pPr>
            <w:pStyle w:val="59"/>
            <w:tabs>
              <w:tab w:val="right" w:leader="dot" w:pos="8306"/>
            </w:tabs>
          </w:pPr>
          <w:r>
            <w:rPr>
              <w:bCs/>
            </w:rPr>
            <w:fldChar w:fldCharType="begin"/>
          </w:r>
          <w:r>
            <w:rPr>
              <w:bCs/>
            </w:rPr>
            <w:instrText xml:space="preserve"> HYPERLINK \l _Toc5288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_Toc18119 </w:instrText>
          </w:r>
          <w:r>
            <w:rPr>
              <w:bCs/>
            </w:rPr>
            <w:fldChar w:fldCharType="separate"/>
          </w:r>
          <w:r>
            <w:rPr>
              <w:rFonts w:hint="eastAsia" w:ascii="楷体" w:hAnsi="楷体" w:eastAsia="楷体"/>
              <w:bCs/>
            </w:rPr>
            <w:t>玉米与淀粉：</w:t>
          </w:r>
          <w:r>
            <w:rPr>
              <w:rFonts w:hint="eastAsia" w:ascii="楷体" w:hAnsi="楷体" w:eastAsia="楷体"/>
            </w:rPr>
            <w:t>期价近弱远强表现分化</w:t>
          </w:r>
          <w:r>
            <w:rPr>
              <w:bCs/>
            </w:rPr>
            <w:fldChar w:fldCharType="end"/>
          </w:r>
        </w:p>
        <w:p>
          <w:pPr>
            <w:pStyle w:val="74"/>
            <w:tabs>
              <w:tab w:val="right" w:leader="dot" w:pos="8306"/>
            </w:tabs>
          </w:pPr>
          <w:r>
            <w:rPr>
              <w:bCs/>
            </w:rPr>
            <w:fldChar w:fldCharType="begin"/>
          </w:r>
          <w:r>
            <w:rPr>
              <w:bCs/>
            </w:rPr>
            <w:instrText xml:space="preserve"> HYPERLINK \l _Toc3345 </w:instrText>
          </w:r>
          <w:r>
            <w:rPr>
              <w:bCs/>
            </w:rPr>
            <w:fldChar w:fldCharType="separate"/>
          </w:r>
          <w:r>
            <w:rPr>
              <w:rFonts w:hint="eastAsia" w:ascii="楷体" w:hAnsi="楷体" w:eastAsia="楷体"/>
              <w:bCs/>
            </w:rPr>
            <w:t>畜禽养殖：生猪期价继续分化运行</w:t>
          </w:r>
          <w:r>
            <w:rPr>
              <w:bCs/>
            </w:rPr>
            <w:fldChar w:fldCharType="end"/>
          </w:r>
        </w:p>
        <w:p>
          <w:pPr>
            <w:pStyle w:val="74"/>
            <w:tabs>
              <w:tab w:val="right" w:leader="dot" w:pos="8306"/>
            </w:tabs>
          </w:pPr>
          <w:r>
            <w:rPr>
              <w:bCs/>
            </w:rPr>
            <w:fldChar w:fldCharType="begin"/>
          </w:r>
          <w:r>
            <w:rPr>
              <w:bCs/>
            </w:rPr>
            <w:instrText xml:space="preserve"> HYPERLINK \l _Toc19441 </w:instrText>
          </w:r>
          <w:r>
            <w:rPr>
              <w:bCs/>
            </w:rPr>
            <w:fldChar w:fldCharType="separate"/>
          </w:r>
          <w:r>
            <w:rPr>
              <w:rFonts w:hint="eastAsia" w:ascii="楷体" w:hAnsi="楷体" w:eastAsia="楷体"/>
              <w:bCs/>
            </w:rPr>
            <w:t>白糖：区间波段式震荡整理</w:t>
          </w:r>
          <w:r>
            <w:rPr>
              <w:bCs/>
            </w:rPr>
            <w:fldChar w:fldCharType="end"/>
          </w:r>
        </w:p>
        <w:p>
          <w:pPr>
            <w:pStyle w:val="74"/>
            <w:tabs>
              <w:tab w:val="right" w:leader="dot" w:pos="8306"/>
            </w:tabs>
          </w:pPr>
          <w:r>
            <w:rPr>
              <w:bCs/>
            </w:rPr>
            <w:fldChar w:fldCharType="begin"/>
          </w:r>
          <w:r>
            <w:rPr>
              <w:bCs/>
            </w:rPr>
            <w:instrText xml:space="preserve"> HYPERLINK \l _Toc8970 </w:instrText>
          </w:r>
          <w:r>
            <w:rPr>
              <w:bCs/>
            </w:rPr>
            <w:fldChar w:fldCharType="separate"/>
          </w:r>
          <w:r>
            <w:rPr>
              <w:rFonts w:hint="eastAsia" w:ascii="楷体" w:hAnsi="楷体" w:eastAsia="楷体"/>
              <w:bCs/>
            </w:rPr>
            <w:t>棉花：预计郑棉区间偏弱震荡，逢低买入</w:t>
          </w:r>
          <w:r>
            <w:rPr>
              <w:bCs/>
            </w:rPr>
            <w:fldChar w:fldCharType="end"/>
          </w:r>
        </w:p>
        <w:p>
          <w:pPr>
            <w:pStyle w:val="74"/>
            <w:tabs>
              <w:tab w:val="right" w:leader="dot" w:pos="8306"/>
            </w:tabs>
          </w:pPr>
          <w:r>
            <w:rPr>
              <w:bCs/>
            </w:rPr>
            <w:fldChar w:fldCharType="begin"/>
          </w:r>
          <w:r>
            <w:rPr>
              <w:bCs/>
            </w:rPr>
            <w:instrText xml:space="preserve"> HYPERLINK \l _Toc18376 </w:instrText>
          </w:r>
          <w:r>
            <w:rPr>
              <w:bCs/>
            </w:rPr>
            <w:fldChar w:fldCharType="separate"/>
          </w:r>
          <w:r>
            <w:rPr>
              <w:rFonts w:hint="eastAsia" w:ascii="楷体" w:hAnsi="楷体" w:eastAsia="楷体"/>
              <w:bCs/>
            </w:rPr>
            <w:t>蛋白粕：美豆大幅拉涨，支撑豆系反弹</w:t>
          </w:r>
          <w:r>
            <w:rPr>
              <w:bCs/>
            </w:rPr>
            <w:fldChar w:fldCharType="end"/>
          </w:r>
        </w:p>
        <w:p>
          <w:pPr>
            <w:pStyle w:val="74"/>
            <w:tabs>
              <w:tab w:val="right" w:leader="dot" w:pos="8306"/>
            </w:tabs>
          </w:pPr>
          <w:r>
            <w:rPr>
              <w:bCs/>
            </w:rPr>
            <w:fldChar w:fldCharType="begin"/>
          </w:r>
          <w:r>
            <w:rPr>
              <w:bCs/>
            </w:rPr>
            <w:instrText xml:space="preserve"> HYPERLINK \l _Toc27616 </w:instrText>
          </w:r>
          <w:r>
            <w:rPr>
              <w:bCs/>
            </w:rPr>
            <w:fldChar w:fldCharType="separate"/>
          </w:r>
          <w:r>
            <w:rPr>
              <w:rFonts w:hint="eastAsia" w:ascii="楷体" w:hAnsi="楷体" w:eastAsia="楷体"/>
              <w:bCs/>
            </w:rPr>
            <w:t>油脂类：棕油表现较强，领涨油脂</w:t>
          </w:r>
          <w:r>
            <w:rPr>
              <w:bCs/>
            </w:rPr>
            <w:fldChar w:fldCharType="end"/>
          </w:r>
        </w:p>
        <w:p>
          <w:pPr>
            <w:pStyle w:val="59"/>
            <w:tabs>
              <w:tab w:val="right" w:leader="dot" w:pos="8306"/>
            </w:tabs>
          </w:pPr>
          <w:r>
            <w:rPr>
              <w:bCs/>
            </w:rPr>
            <w:fldChar w:fldCharType="begin"/>
          </w:r>
          <w:r>
            <w:rPr>
              <w:bCs/>
            </w:rPr>
            <w:instrText xml:space="preserve"> HYPERLINK \l _Toc22349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_Toc8664 </w:instrText>
          </w:r>
          <w:r>
            <w:rPr>
              <w:bCs/>
            </w:rPr>
            <w:fldChar w:fldCharType="separate"/>
          </w:r>
          <w:r>
            <w:rPr>
              <w:rFonts w:hint="eastAsia" w:ascii="Times New Roman" w:hAnsi="Times New Roman" w:eastAsia="楷体"/>
              <w:szCs w:val="24"/>
            </w:rPr>
            <w:t>集运指数（欧线）：受SCFI下跌影响EC集体回落</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73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175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弱势震荡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大盘全天弱势震荡，沪指领跌，上证50、沪深300双双止步9连阳，尾盘多只沪深300ETF再度出现放量行情。截至收盘，上证指数跌0.61%报2964.22点，盘面上，午后量能收窄交投清淡，A股全天成交6614.4亿元，环比略减。三中全会整体定调着眼于中长期，对中国经济改革和未来发展具有重要意义，往往有助于推动市场风险偏好提升。市场短期交易或更需要着眼于当下的政策，需看到国内中期基本面改善清晰度，加之海外大选要在Q4才会尘埃落定，故对Q3仍维持弱势震荡，存在结构性机会的观点。</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91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585"/>
      <w:r>
        <w:rPr>
          <w:rFonts w:hint="eastAsia" w:ascii="Times New Roman" w:hAnsi="Times New Roman" w:eastAsia="楷体"/>
          <w:b/>
          <w:color w:val="000000" w:themeColor="text1"/>
          <w:sz w:val="24"/>
          <w:szCs w:val="24"/>
          <w14:textFill>
            <w14:solidFill>
              <w14:schemeClr w14:val="tx1"/>
            </w14:solidFill>
          </w14:textFill>
        </w:rPr>
        <w:t>贵金属：避险情绪略微升温，贵金属窄幅震荡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0.01%至563.84元/克，沪银跌0.08%至7635元/千克。当地时间7月21日，美国现任总统拜登宣布退出2024年总统竞选，专注于履行总统剩余任期内的职责，并表示支持提名现任美国副总统哈里斯为民主党总统候选人。拜登退选令海外市场避险情绪略微升温，CME黄金波动率小幅上行至15.82。周一在岸人民币对美元16:30收盘报7.2737，较上一交易日下跌65个基点，夜盘收报7.2736。人民币对美元中间价报7.1335，调贬20个基点。本周关注美国二季度实际GDP、个人消费支出、核心PCE等季度数据，以及美国7月标普PMI初值、6月PCE通胀等公布情况。数据将为市场评估美国经济基本面表现提供参考，在美国经济面临下行压力的背景下，贵金属的避险功能凸显，中长线维持偏多思路。</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703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7290"/>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碳酸锂：现货价格持平，期价横盘震荡</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11合约收跌0.06%至88950元/吨。海关总署数据显示，国内6月进口碳酸锂19583.22吨，环比降20.3%，同比增53.14%。其中，从智利进口碳酸锂15652.30吨，环比降22.9%，同比增35.1%；从阿根廷进口碳酸锂3434.00吨，环比降7.3%，同比增264.5%。上周智利地震对于碳酸锂企业影响较小，消息面扰动已被消化。最新当周，锂云母提锂开工率微跌，碳酸锂周度产量略微下行，整体周度开工率小幅下滑。矿石价格缓跌，代工企业加工费小幅下降，订单略微减少，现货成交有所好转，碳酸锂供应维持充足。基本面维持供强需弱，传统金九银十旺季补库需求兑现前，走势或仍维持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651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市场情绪趋弱，铝价破位下跌</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在交易全球经济衰退，外盘有色价格领跌，基本面上看国内矿端现状依旧吃紧，电解铝供应高位，内需临近金九银十有边际修复预期，外需表现相对旺盛。目前铝价受大宏观逻辑驱动走弱，沪铝价格跌破19500支撑，技术图形上看难言有止跌趋势，短期内铝价跟随市场情绪趋弱运行，建议观望下跌底部形成。</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7377"/>
      <w:r>
        <w:rPr>
          <w:rFonts w:hint="eastAsia" w:ascii="楷体" w:hAnsi="楷体" w:eastAsia="楷体"/>
          <w:b/>
          <w:color w:val="000000" w:themeColor="text1"/>
          <w:sz w:val="24"/>
          <w:szCs w:val="24"/>
          <w14:textFill>
            <w14:solidFill>
              <w14:schemeClr w14:val="tx1"/>
            </w14:solidFill>
          </w14:textFill>
        </w:rPr>
        <w:t>锌：锌价偏弱运行，关注23200一线支撑</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交易经济衰退和降息预期，国内政策面偏好，但现实政策刺激效果表现不及预想。锌矿TC加工费屡破新低，原料紧缺格局无明显改善，国内矿产增量较少，海外矿进口量受海外部分冶炼厂复产影响可能进一步收缩，部分冶炼厂因生产利润不足主动减停，1-6月精炼锌产量同比下降1.39%，厂内原料库存低位，需求上看，淡季表现平平但无超预期下行，金三银四即将到来消费有提振预期，锌价快速下行下游提货意愿走强，关注23200前低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30131"/>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：宏观主导盘面，铜价延续弱势</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(1)库存：7月22日，SHFE仓单库存230087吨，减10734吨；LME仓单库存234400吨，增2975吨。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(2)精废价差：7月22日，Mysteel精废价差1123，扩张227。目前价差在合理价差1461之下。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层面，当前市场继续计价经济走弱逻辑。基本面，国内精炼铜产量维持高位，但再生环节收货因政策而难度增加，粗铜加工费已开始大幅降低，产量风险正在提升，LME库存近期延续回升态势给价格带来一定压力，短期价格延续弱势，或继续试探7.5万一线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8939"/>
      <w:r>
        <w:rPr>
          <w:rFonts w:hint="eastAsia" w:ascii="楷体" w:hAnsi="楷体" w:eastAsia="楷体"/>
          <w:b/>
          <w:color w:val="000000" w:themeColor="text1"/>
          <w:sz w:val="24"/>
          <w:szCs w:val="24"/>
          <w14:textFill>
            <w14:solidFill>
              <w14:schemeClr w14:val="tx1"/>
            </w14:solidFill>
          </w14:textFill>
        </w:rPr>
        <w:t>镍：预计短期镍价偏弱整理为主</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交易经济走弱逻辑，施压有色板块。镍矿方面，目前印尼镍矿流通资源仍偏紧，印尼镍矿内贸升水居高不下。原料方面，镍铁价格坚挺，硫酸镍厂家在亏损状态下挺价情绪较强，预计硫酸镍价格弱稳为主。供应方面，由于精炼镍出口利润收窄，国产电积镍品牌出口势头放缓，国内精炼镍现货资源偏紧问题缓解。需求方面，近日下游成交氛围边际好转，但终端需求疲软。库存方面，上周社库降幅3.18%，LME镍库存维持趋势性累库。综合而言，全球镍过剩格局持续，镍价中长期下行周期并未结束，但从短期来看，印尼镍矿现货偏紧带来底部支撑，原料端负反馈程度有限，当前镍价已临近高冰镍一体化生产成本，镍价继续深跌动能或有限，或偏弱整理为主，短期建议暂观望。</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2669"/>
      <w:r>
        <w:rPr>
          <w:rFonts w:hint="eastAsia" w:ascii="楷体" w:hAnsi="楷体" w:eastAsia="楷体"/>
          <w:b/>
          <w:color w:val="000000" w:themeColor="text1"/>
          <w:sz w:val="24"/>
          <w:szCs w:val="24"/>
          <w14:textFill>
            <w14:solidFill>
              <w14:schemeClr w14:val="tx1"/>
            </w14:solidFill>
          </w14:textFill>
        </w:rPr>
        <w:t>不锈钢：成本支撑与供需压力交织，价格弹性较小</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由于RKAB审批额度的兑现需要一定时间，加上时逢雨季，目前印尼镍矿流通资源仍偏紧，印尼镍矿内贸升水居高不下。镍铁方面，不锈钢需求疲软对镍铁价格有一定压制，但矿价坚挺带来底部支撑，镍铁价格坚挺。供应方面，不锈钢厂减产力度有限，目前排产仍处于较高水平。需求方面，虽商家低价出货，但成交氛围仍不见起色。库存方面，上周社库继续增加，仓单库存仍处于历史高位。综合而言，不锈钢供需压力持续，社会库存累库，对价格施压，但下方有印尼镍矿供应偏紧及镍铁价格坚挺带来的成本支撑，价格上下驱动性皆较弱，关注低多机会。</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099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市场情绪转弱，盘面承压下行</w:t>
      </w:r>
      <w:bookmarkEnd w:id="25"/>
    </w:p>
    <w:p>
      <w:pPr>
        <w:ind w:left="630" w:leftChars="300"/>
        <w:rPr>
          <w:rFonts w:ascii="楷体" w:hAnsi="楷体" w:eastAsia="楷体"/>
          <w:sz w:val="24"/>
          <w:szCs w:val="24"/>
        </w:rPr>
      </w:pPr>
      <w:r>
        <w:rPr>
          <w:rFonts w:hint="eastAsia" w:ascii="楷体" w:hAnsi="楷体" w:eastAsia="楷体"/>
          <w:sz w:val="24"/>
          <w:szCs w:val="24"/>
        </w:rPr>
        <w:t>7月22日，Si2409主力合约呈下行走势，收盘价10275元/吨，较上一收盘价涨跌幅-2.84%。从基本面来看，当前市场处于高供应、弱需求的格局下，使得行业库存持续增加，现货市场偏弱，叠加近期大厂大幅下调现货报价，使得市场情绪进一步转弱，对盘面构成较大压力。若主产区持续处于高开工，在需求疲软情况下，或进一步加剧宽松格局，后续仍有下跌的风险。策略上，谨慎资金暂时观望，激进资金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4513"/>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921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原料价格止跌企稳再度验证 橡胶下方空间有限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震荡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711"/>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2343"/>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累库持续现货受压，期货市场或保持弱震荡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昨夜盘主力合约2409窄幅震荡，收于1423元/吨。</w:t>
      </w:r>
    </w:p>
    <w:p>
      <w:pPr>
        <w:ind w:left="630" w:leftChars="300"/>
        <w:rPr>
          <w:rFonts w:hint="eastAsia" w:ascii="楷体" w:hAnsi="楷体" w:eastAsia="楷体"/>
          <w:sz w:val="24"/>
          <w:szCs w:val="24"/>
        </w:rPr>
      </w:pPr>
      <w:r>
        <w:rPr>
          <w:rFonts w:hint="eastAsia" w:ascii="楷体" w:hAnsi="楷体" w:eastAsia="楷体"/>
          <w:sz w:val="24"/>
          <w:szCs w:val="24"/>
        </w:rPr>
        <w:t>现货方面，浮法玻璃华北玻璃大板跌低位至1440元/吨、河北沙河大板现货降至1352元/吨，稳步下行。库存方面，玻璃在产企业总库存为6513.56万重量箱，环比上周上升155.26万重量箱。</w:t>
      </w:r>
    </w:p>
    <w:p>
      <w:pPr>
        <w:ind w:left="630" w:leftChars="300"/>
        <w:rPr>
          <w:rFonts w:hint="eastAsia" w:ascii="楷体" w:hAnsi="楷体" w:eastAsia="楷体"/>
          <w:sz w:val="24"/>
          <w:szCs w:val="24"/>
        </w:rPr>
      </w:pPr>
      <w:r>
        <w:rPr>
          <w:rFonts w:hint="eastAsia" w:ascii="楷体" w:hAnsi="楷体" w:eastAsia="楷体"/>
          <w:sz w:val="24"/>
          <w:szCs w:val="24"/>
        </w:rPr>
        <w:t>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总体来看，目前市场情绪较弱，叠加地产数据打压期货盘面，许多厂家以低于成本的价格出货。下游需求不足且处于累库阶段，短期内预计期价弱震荡建议观望。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24106"/>
      <w:r>
        <w:rPr>
          <w:rFonts w:hint="eastAsia" w:ascii="Times New Roman" w:hAnsi="Times New Roman" w:eastAsia="楷体"/>
          <w:b/>
          <w:color w:val="000000" w:themeColor="text1"/>
          <w:sz w:val="24"/>
          <w:szCs w:val="24"/>
          <w14:textFill>
            <w14:solidFill>
              <w14:schemeClr w14:val="tx1"/>
            </w14:solidFill>
          </w14:textFill>
        </w:rPr>
        <w:t>纯碱：需求不足现价疲弱，未来或维持弱震</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昨夜盘主力合约下跌2.4%至1873元/吨。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84.9%，环比下跌1.36%。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目前，前期受供应扰动超跌反弹后再次回归基本面，短期预计纯碱现货价格偏弱，后市仍需主要关注供应端变动情况。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5288"/>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hint="eastAsia" w:ascii="楷体" w:hAnsi="楷体" w:eastAsia="楷体"/>
          <w:b/>
        </w:rPr>
      </w:pPr>
      <w:bookmarkStart w:id="33" w:name="_Toc1811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期价近弱远强表现分化</w:t>
      </w:r>
      <w:bookmarkEnd w:id="33"/>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国内玉米现货表现分化，华北产区涨跌互现，东北产区稳中有跌，南北方港口持稳，玉米期价同样分化，远月表现相对强于近月。对于玉米而言，期价虽有止跌迹象，现货延续弱势，考虑到期价低于北方港口平仓价，更贴近南方销区现货价，这需要市场对此做出判断，究竟是期价大幅下跌带来的提前风控行为，还是只是现货市场崩盘的开始，这背后逻辑重点在于当前年度即旧作是否仍存在产需缺口，我们继续倾向于国家不太可能降价抛储陈化水稻，而在国家增储之后小麦饲用替代量有望大幅下降，随着生猪和蛋禽养殖利润带动畜禽存栏对应饲料需求环比改善，国内旧作玉米产需缺口仍有望逐步显现，继而可能改变新作供需格局，据此我们维持谨慎看多观点，但建议投资者暂以观望为宜，待现货止跌后可考虑入场做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整体弱势，部分地区下跌10-50元不等，期价跟随玉米近弱远强分化运行，淀粉-玉米价差同样分化。对于淀粉而言，影响淀粉-玉米价差的三方面因素中，行业供需近期趋于偏空，因行业库存已出现累积迹象；原料成本存在变数，至少近期产区玉米收购价多有下跌；而副产品端有望带来支撑，因美豆带动蛋白粕继续弱势，淀粉副产品缺乏上涨动力，这有望抑制淀粉-玉米价差继续回落空间。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3345"/>
      <w:r>
        <w:rPr>
          <w:rFonts w:hint="eastAsia" w:ascii="楷体" w:hAnsi="楷体" w:eastAsia="楷体"/>
          <w:b/>
          <w:bCs/>
          <w:color w:val="000000" w:themeColor="text1"/>
          <w14:textFill>
            <w14:solidFill>
              <w14:schemeClr w14:val="tx1"/>
            </w14:solidFill>
          </w14:textFill>
        </w:rPr>
        <w:t>畜禽养殖：生猪期价继续分化运行</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生猪现货价格周末涨跌互现，整体偏强，全国主产区均价上涨0.10元至19.08元，生猪期价继续近强远弱分化运行，近月-远月价差继续走扩。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已经突破六月高点，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和正套组合。</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周末以来鸡蛋现货涨跌互现，主产区均价上涨0.03元至4.46元/斤，主销区均价则下跌0.04元至4.64元/斤，鸡蛋期价窄幅震荡运行，除7月合约外，各合约收盘变动不大。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端午节后低点或已经出现，现货已经进入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19441"/>
      <w:r>
        <w:rPr>
          <w:rFonts w:hint="eastAsia" w:ascii="楷体" w:hAnsi="楷体" w:eastAsia="楷体"/>
          <w:b/>
          <w:bCs/>
          <w:color w:val="000000" w:themeColor="text1"/>
          <w14:textFill>
            <w14:solidFill>
              <w14:schemeClr w14:val="tx1"/>
            </w14:solidFill>
          </w14:textFill>
        </w:rPr>
        <w:t>白糖：区间波段式震荡整理</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隔夜外盘纽约原糖主力合约和伦敦白砂糖主力合约分别下跌0.32%和1.46%。据外电7月22日消息，巴西对外贸易秘书处( Secex ）公布的出口数据显示，巴西7月前三周出口糖213.58万吨，日均出口量为14.24万吨，较上年7月全月的日均出口量14.02万吨增加2%。上年7月全月出口量为294.42万吨。国内隔周夜盘白糖主力合约下跌0.70%。国内在传统旺季的刚需驱使下，终端采购积极性增强，去库存进程加快，库存压力减轻，期价存在一定支撑。但外盘走势带动下，预计白糖震荡偏弱，区间6000-6300。</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8970"/>
      <w:r>
        <w:rPr>
          <w:rFonts w:hint="eastAsia" w:ascii="楷体" w:hAnsi="楷体" w:eastAsia="楷体"/>
          <w:b/>
          <w:bCs/>
          <w:color w:val="000000" w:themeColor="text1"/>
          <w14:textFill>
            <w14:solidFill>
              <w14:schemeClr w14:val="tx1"/>
            </w14:solidFill>
          </w14:textFill>
        </w:rPr>
        <w:t>棉花：预计郑棉区间偏弱震荡，逢低买入</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优良率增加，隔夜外盘美棉主力下跌0.16%。美国农业部（ USDA ）在每周作物生长报告中公布称，截至2024年7月21日当周，美国棉花优良率为53%，前一周为45%，上年同期为46%。当周，美国棉花结铃率为42%，上一周为27%，上年同期为34%，五年均值为34%。当周，美国棉花现蕾率为81%，上一周为64%，上年同期为74%，五年均值为76%。国内夜盘，郑棉主力下跌0.44%。国内部分纺织企业表示近期订单略有好转，但纱线价格指数尚未企稳，市场继续等待旺季的到来。郑棉在14500元/吨寻得初步支撑，但仍缺乏强有力的推动因素，预计短期内继续温和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8376"/>
      <w:r>
        <w:rPr>
          <w:rFonts w:hint="eastAsia" w:ascii="楷体" w:hAnsi="楷体" w:eastAsia="楷体"/>
          <w:b/>
          <w:bCs/>
          <w:color w:val="000000" w:themeColor="text1"/>
          <w14:textFill>
            <w14:solidFill>
              <w14:schemeClr w14:val="tx1"/>
            </w14:solidFill>
          </w14:textFill>
        </w:rPr>
        <w:t>蛋白粕：美豆大幅拉涨，支撑豆系反弹</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CBOT大豆上涨3.21%，一定程度上受宏观环境影响，拜登退选使投资者重新评估政治环境和市场环境。同时，根据USDA最新报告，7月18日当周美豆出口检验量327061吨，环比大增。美豆表现好转促使豆粕价格持续反弹。但基本面表现依旧弱势，由于前期榨利表现不错，导致油厂前几个月的船期购买较多，到港量大，供应依旧宽松。菜系方面，菜籽旧作增产，国内三季度菜籽到港量维持高位。豆菜粕价差不断缩小，菜粕消费趋于减少。总体而言，上游油料供应依旧维持供强需弱局面，粕类弱势运行不改，需警惕反弹后回落。</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7616"/>
      <w:r>
        <w:rPr>
          <w:rFonts w:hint="eastAsia" w:ascii="楷体" w:hAnsi="楷体" w:eastAsia="楷体"/>
          <w:b/>
          <w:bCs/>
          <w:color w:val="000000" w:themeColor="text1"/>
          <w14:textFill>
            <w14:solidFill>
              <w14:schemeClr w14:val="tx1"/>
            </w14:solidFill>
          </w14:textFill>
        </w:rPr>
        <w:t>油脂类：棕油表现较强，领涨油脂</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主力合约上涨0.98%，菜油上涨0.24%，棕油上涨1.20%，油脂全盘上涨，已实现多日反弹。截止2024年7月19日，三大油脂商业库存总量环比减少0.44%，同比减少9.05%，供应压力略微缓解。大豆丰产预期不变叠加原油回调，豆油偏弱运行；菜籽主产区加拿大、欧洲天气引发市场减产担忧，加之超跌反弹，菜油仍在上涨中；根据不同机构报告来看，棕榈油7月1日-7月20日出口量增近40%，马棕价格抗跌，但出口强劲意味着国内到港棕油增加，需求淡季持续累库。总体而言，油脂反弹因素并不是非常明确，预计期价震荡运行，谨慎布局多单。</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22349"/>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8664"/>
      <w:r>
        <w:rPr>
          <w:rFonts w:hint="eastAsia" w:ascii="Times New Roman" w:hAnsi="Times New Roman" w:eastAsia="楷体"/>
          <w:b/>
          <w:color w:val="000000" w:themeColor="text1"/>
          <w:sz w:val="24"/>
          <w:szCs w:val="24"/>
          <w14:textFill>
            <w14:solidFill>
              <w14:schemeClr w14:val="tx1"/>
            </w14:solidFill>
          </w14:textFill>
        </w:rPr>
        <w:t>集运指数（欧线）：受SCFI下跌影响EC集体回落</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7月15日，SCFIS欧线指数环比上涨10.5%至6002.23点。7月19日，上海港出口至欧洲基本港市场运价（海运及海运附加费）为3542.44美元/TEU，较上期回落3.6%，再次下跌。短期内运输需求继续维持在高位，但由于中欧贸易面临政策不确定性的考验，即期市场订舱价格小幅回落。</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需求端来看，据研究机构ZEW发布的数据显示，欧元区7月ZEW经济景气指数为43.7，低于前值及市场预期。其中，德国7月ZEW经济景气指数降至 41.8，是四个月以来的最低水平，显示出欧洲经济复苏的前景并不稳固。</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总体来看，各大船司最新报价有所分化，SCFI指数连续回落，，留意短期风险，建议投资者谨慎操作。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19667"/>
      <w:bookmarkStart w:id="42" w:name="_Toc12779"/>
      <w:bookmarkStart w:id="43" w:name="_Toc72481108"/>
      <w:bookmarkStart w:id="44" w:name="_Toc71212556"/>
      <w:bookmarkStart w:id="45" w:name="_Toc98426751"/>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2024年7月23日星期二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AF4829"/>
    <w:rsid w:val="4FBA2B77"/>
    <w:rsid w:val="4FD46E6F"/>
    <w:rsid w:val="5005695E"/>
    <w:rsid w:val="50286811"/>
    <w:rsid w:val="50700F42"/>
    <w:rsid w:val="51266B84"/>
    <w:rsid w:val="51642661"/>
    <w:rsid w:val="5191036A"/>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2024-07-23T02:10:24Z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