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_Toc25266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_Toc2183 </w:instrText>
          </w:r>
          <w:r>
            <w:rPr>
              <w:bCs/>
            </w:rPr>
            <w:fldChar w:fldCharType="separate"/>
          </w:r>
          <w:r>
            <w:rPr>
              <w:rFonts w:hint="eastAsia" w:ascii="Times New Roman" w:hAnsi="Times New Roman" w:eastAsia="楷体"/>
              <w:szCs w:val="24"/>
            </w:rPr>
            <w:t>股指：短线观望为主</w:t>
          </w:r>
          <w:r>
            <w:rPr>
              <w:bCs/>
            </w:rPr>
            <w:fldChar w:fldCharType="end"/>
          </w:r>
        </w:p>
        <w:p>
          <w:pPr>
            <w:pStyle w:val="59"/>
            <w:tabs>
              <w:tab w:val="right" w:leader="dot" w:pos="8306"/>
            </w:tabs>
          </w:pPr>
          <w:r>
            <w:rPr>
              <w:bCs/>
            </w:rPr>
            <w:fldChar w:fldCharType="begin"/>
          </w:r>
          <w:r>
            <w:rPr>
              <w:bCs/>
            </w:rPr>
            <w:instrText xml:space="preserve"> HYPERLINK \l _Toc3370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_Toc24783 </w:instrText>
          </w:r>
          <w:r>
            <w:rPr>
              <w:bCs/>
            </w:rPr>
            <w:fldChar w:fldCharType="separate"/>
          </w:r>
          <w:r>
            <w:rPr>
              <w:rFonts w:hint="eastAsia" w:ascii="Times New Roman" w:hAnsi="Times New Roman" w:eastAsia="楷体"/>
              <w:szCs w:val="24"/>
            </w:rPr>
            <w:t>贵金属：褐皮书提示未来美国经济增长或放缓，贵金属价格下跌</w:t>
          </w:r>
          <w:r>
            <w:rPr>
              <w:bCs/>
            </w:rPr>
            <w:fldChar w:fldCharType="end"/>
          </w:r>
        </w:p>
        <w:p>
          <w:pPr>
            <w:pStyle w:val="59"/>
            <w:tabs>
              <w:tab w:val="right" w:leader="dot" w:pos="8306"/>
            </w:tabs>
          </w:pPr>
          <w:r>
            <w:rPr>
              <w:bCs/>
            </w:rPr>
            <w:fldChar w:fldCharType="begin"/>
          </w:r>
          <w:r>
            <w:rPr>
              <w:bCs/>
            </w:rPr>
            <w:instrText xml:space="preserve"> HYPERLINK \l _Toc13668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_Toc11406 </w:instrText>
          </w:r>
          <w:r>
            <w:rPr>
              <w:bCs/>
            </w:rPr>
            <w:fldChar w:fldCharType="separate"/>
          </w:r>
          <w:r>
            <w:rPr>
              <w:rFonts w:hint="eastAsia" w:ascii="楷体" w:hAnsi="楷体" w:eastAsia="楷体"/>
              <w:szCs w:val="24"/>
            </w:rPr>
            <w:t>碳酸锂：现货价格持平，期价维持下跌</w:t>
          </w:r>
          <w:r>
            <w:rPr>
              <w:bCs/>
            </w:rPr>
            <w:fldChar w:fldCharType="end"/>
          </w:r>
        </w:p>
        <w:p>
          <w:pPr>
            <w:pStyle w:val="74"/>
            <w:tabs>
              <w:tab w:val="right" w:leader="dot" w:pos="8306"/>
            </w:tabs>
          </w:pPr>
          <w:r>
            <w:rPr>
              <w:bCs/>
            </w:rPr>
            <w:fldChar w:fldCharType="begin"/>
          </w:r>
          <w:r>
            <w:rPr>
              <w:bCs/>
            </w:rPr>
            <w:instrText xml:space="preserve"> HYPERLINK \l _Toc32257 </w:instrText>
          </w:r>
          <w:r>
            <w:rPr>
              <w:bCs/>
            </w:rPr>
            <w:fldChar w:fldCharType="separate"/>
          </w:r>
          <w:r>
            <w:rPr>
              <w:rFonts w:hint="eastAsia" w:ascii="楷体" w:hAnsi="楷体" w:eastAsia="楷体"/>
              <w:szCs w:val="24"/>
            </w:rPr>
            <w:t>铝：市场情绪向弱，价格承压运行</w:t>
          </w:r>
          <w:r>
            <w:rPr>
              <w:bCs/>
            </w:rPr>
            <w:fldChar w:fldCharType="end"/>
          </w:r>
        </w:p>
        <w:p>
          <w:pPr>
            <w:pStyle w:val="74"/>
            <w:tabs>
              <w:tab w:val="right" w:leader="dot" w:pos="8306"/>
            </w:tabs>
          </w:pPr>
          <w:r>
            <w:rPr>
              <w:bCs/>
            </w:rPr>
            <w:fldChar w:fldCharType="begin"/>
          </w:r>
          <w:r>
            <w:rPr>
              <w:bCs/>
            </w:rPr>
            <w:instrText xml:space="preserve"> HYPERLINK \l _Toc25536 </w:instrText>
          </w:r>
          <w:r>
            <w:rPr>
              <w:bCs/>
            </w:rPr>
            <w:fldChar w:fldCharType="separate"/>
          </w:r>
          <w:r>
            <w:rPr>
              <w:rFonts w:hint="eastAsia" w:ascii="楷体" w:hAnsi="楷体" w:eastAsia="楷体"/>
              <w:szCs w:val="24"/>
            </w:rPr>
            <w:t>锌：锌价区间震荡为主</w:t>
          </w:r>
          <w:r>
            <w:rPr>
              <w:bCs/>
            </w:rPr>
            <w:fldChar w:fldCharType="end"/>
          </w:r>
        </w:p>
        <w:p>
          <w:pPr>
            <w:pStyle w:val="74"/>
            <w:tabs>
              <w:tab w:val="right" w:leader="dot" w:pos="8306"/>
            </w:tabs>
          </w:pPr>
          <w:r>
            <w:rPr>
              <w:bCs/>
            </w:rPr>
            <w:fldChar w:fldCharType="begin"/>
          </w:r>
          <w:r>
            <w:rPr>
              <w:bCs/>
            </w:rPr>
            <w:instrText xml:space="preserve"> HYPERLINK \l _Toc26478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：维持震荡偏弱运行</w:t>
          </w:r>
          <w:r>
            <w:rPr>
              <w:bCs/>
            </w:rPr>
            <w:fldChar w:fldCharType="end"/>
          </w:r>
        </w:p>
        <w:p>
          <w:pPr>
            <w:pStyle w:val="74"/>
            <w:tabs>
              <w:tab w:val="right" w:leader="dot" w:pos="8306"/>
            </w:tabs>
          </w:pPr>
          <w:r>
            <w:rPr>
              <w:bCs/>
            </w:rPr>
            <w:fldChar w:fldCharType="begin"/>
          </w:r>
          <w:r>
            <w:rPr>
              <w:bCs/>
            </w:rPr>
            <w:instrText xml:space="preserve"> HYPERLINK \l _Toc13333 </w:instrText>
          </w:r>
          <w:r>
            <w:rPr>
              <w:bCs/>
            </w:rPr>
            <w:fldChar w:fldCharType="separate"/>
          </w:r>
          <w:r>
            <w:rPr>
              <w:rFonts w:hint="eastAsia" w:ascii="楷体" w:hAnsi="楷体" w:eastAsia="楷体"/>
              <w:szCs w:val="24"/>
            </w:rPr>
            <w:t>镍：宏观情绪偏弱，镍价震荡运行</w:t>
          </w:r>
          <w:r>
            <w:rPr>
              <w:bCs/>
            </w:rPr>
            <w:fldChar w:fldCharType="end"/>
          </w:r>
        </w:p>
        <w:p>
          <w:pPr>
            <w:pStyle w:val="74"/>
            <w:tabs>
              <w:tab w:val="right" w:leader="dot" w:pos="8306"/>
            </w:tabs>
          </w:pPr>
          <w:r>
            <w:rPr>
              <w:bCs/>
            </w:rPr>
            <w:fldChar w:fldCharType="begin"/>
          </w:r>
          <w:r>
            <w:rPr>
              <w:bCs/>
            </w:rPr>
            <w:instrText xml:space="preserve"> HYPERLINK \l _Toc9153 </w:instrText>
          </w:r>
          <w:r>
            <w:rPr>
              <w:bCs/>
            </w:rPr>
            <w:fldChar w:fldCharType="separate"/>
          </w:r>
          <w:r>
            <w:rPr>
              <w:rFonts w:hint="eastAsia" w:ascii="楷体" w:hAnsi="楷体" w:eastAsia="楷体"/>
              <w:szCs w:val="24"/>
            </w:rPr>
            <w:t>不锈钢：强成本弱需求，上下空间皆有限</w:t>
          </w:r>
          <w:r>
            <w:rPr>
              <w:bCs/>
            </w:rPr>
            <w:fldChar w:fldCharType="end"/>
          </w:r>
        </w:p>
        <w:p>
          <w:pPr>
            <w:pStyle w:val="74"/>
            <w:tabs>
              <w:tab w:val="right" w:leader="dot" w:pos="8306"/>
            </w:tabs>
          </w:pPr>
          <w:r>
            <w:rPr>
              <w:bCs/>
            </w:rPr>
            <w:fldChar w:fldCharType="begin"/>
          </w:r>
          <w:r>
            <w:rPr>
              <w:bCs/>
            </w:rPr>
            <w:instrText xml:space="preserve"> HYPERLINK \l _Toc32199 </w:instrText>
          </w:r>
          <w:r>
            <w:rPr>
              <w:bCs/>
            </w:rPr>
            <w:fldChar w:fldCharType="separate"/>
          </w:r>
          <w:r>
            <w:rPr>
              <w:rFonts w:hint="eastAsia" w:ascii="楷体" w:hAnsi="楷体" w:eastAsia="楷体"/>
              <w:szCs w:val="24"/>
            </w:rPr>
            <w:t>工业硅：基本面较为宽松，或压制反弹高度</w:t>
          </w:r>
          <w:r>
            <w:rPr>
              <w:bCs/>
            </w:rPr>
            <w:fldChar w:fldCharType="end"/>
          </w:r>
        </w:p>
        <w:p>
          <w:pPr>
            <w:pStyle w:val="59"/>
            <w:tabs>
              <w:tab w:val="right" w:leader="dot" w:pos="8306"/>
            </w:tabs>
          </w:pPr>
          <w:r>
            <w:rPr>
              <w:bCs/>
            </w:rPr>
            <w:fldChar w:fldCharType="begin"/>
          </w:r>
          <w:r>
            <w:rPr>
              <w:bCs/>
            </w:rPr>
            <w:instrText xml:space="preserve"> HYPERLINK \l _Toc14021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_Toc12300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原料价格止跌企稳再度验证 橡胶下方空间有限</w:t>
          </w:r>
          <w:r>
            <w:rPr>
              <w:bCs/>
            </w:rPr>
            <w:fldChar w:fldCharType="end"/>
          </w:r>
        </w:p>
        <w:p>
          <w:pPr>
            <w:pStyle w:val="74"/>
            <w:tabs>
              <w:tab w:val="right" w:leader="dot" w:pos="8306"/>
            </w:tabs>
          </w:pPr>
          <w:r>
            <w:rPr>
              <w:bCs/>
            </w:rPr>
            <w:fldChar w:fldCharType="begin"/>
          </w:r>
          <w:r>
            <w:rPr>
              <w:bCs/>
            </w:rPr>
            <w:instrText xml:space="preserve"> HYPERLINK \l _Toc11042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_Toc18955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供应偏高厂家低价出货，期市价格受压</w:t>
          </w:r>
          <w:r>
            <w:rPr>
              <w:bCs/>
            </w:rPr>
            <w:fldChar w:fldCharType="end"/>
          </w:r>
        </w:p>
        <w:p>
          <w:pPr>
            <w:pStyle w:val="74"/>
            <w:tabs>
              <w:tab w:val="right" w:leader="dot" w:pos="8306"/>
            </w:tabs>
          </w:pPr>
          <w:r>
            <w:rPr>
              <w:bCs/>
            </w:rPr>
            <w:fldChar w:fldCharType="begin"/>
          </w:r>
          <w:r>
            <w:rPr>
              <w:bCs/>
            </w:rPr>
            <w:instrText xml:space="preserve"> HYPERLINK \l _Toc11778 </w:instrText>
          </w:r>
          <w:r>
            <w:rPr>
              <w:bCs/>
            </w:rPr>
            <w:fldChar w:fldCharType="separate"/>
          </w:r>
          <w:r>
            <w:rPr>
              <w:rFonts w:hint="eastAsia" w:ascii="Times New Roman" w:hAnsi="Times New Roman" w:eastAsia="楷体"/>
              <w:szCs w:val="24"/>
            </w:rPr>
            <w:t>纯碱：下游需求趋稳产量回升，期价持续偏弱运行</w:t>
          </w:r>
          <w:r>
            <w:rPr>
              <w:bCs/>
            </w:rPr>
            <w:fldChar w:fldCharType="end"/>
          </w:r>
        </w:p>
        <w:p>
          <w:pPr>
            <w:pStyle w:val="59"/>
            <w:tabs>
              <w:tab w:val="right" w:leader="dot" w:pos="8306"/>
            </w:tabs>
          </w:pPr>
          <w:r>
            <w:rPr>
              <w:bCs/>
            </w:rPr>
            <w:fldChar w:fldCharType="begin"/>
          </w:r>
          <w:r>
            <w:rPr>
              <w:bCs/>
            </w:rPr>
            <w:instrText xml:space="preserve"> HYPERLINK \l _Toc11387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_Toc11427 </w:instrText>
          </w:r>
          <w:r>
            <w:rPr>
              <w:bCs/>
            </w:rPr>
            <w:fldChar w:fldCharType="separate"/>
          </w:r>
          <w:r>
            <w:rPr>
              <w:rFonts w:hint="eastAsia" w:ascii="楷体" w:hAnsi="楷体" w:eastAsia="楷体"/>
              <w:bCs/>
            </w:rPr>
            <w:t>玉米与淀粉：</w:t>
          </w:r>
          <w:r>
            <w:rPr>
              <w:rFonts w:hint="eastAsia" w:ascii="楷体" w:hAnsi="楷体" w:eastAsia="楷体"/>
            </w:rPr>
            <w:t>期价反弹乏力</w:t>
          </w:r>
          <w:r>
            <w:rPr>
              <w:bCs/>
            </w:rPr>
            <w:fldChar w:fldCharType="end"/>
          </w:r>
        </w:p>
        <w:p>
          <w:pPr>
            <w:pStyle w:val="74"/>
            <w:tabs>
              <w:tab w:val="right" w:leader="dot" w:pos="8306"/>
            </w:tabs>
          </w:pPr>
          <w:r>
            <w:rPr>
              <w:bCs/>
            </w:rPr>
            <w:fldChar w:fldCharType="begin"/>
          </w:r>
          <w:r>
            <w:rPr>
              <w:bCs/>
            </w:rPr>
            <w:instrText xml:space="preserve"> HYPERLINK \l _Toc2401 </w:instrText>
          </w:r>
          <w:r>
            <w:rPr>
              <w:bCs/>
            </w:rPr>
            <w:fldChar w:fldCharType="separate"/>
          </w:r>
          <w:r>
            <w:rPr>
              <w:rFonts w:hint="eastAsia" w:ascii="楷体" w:hAnsi="楷体" w:eastAsia="楷体"/>
              <w:bCs/>
            </w:rPr>
            <w:t>畜禽养殖：期价震荡偏强</w:t>
          </w:r>
          <w:r>
            <w:rPr>
              <w:bCs/>
            </w:rPr>
            <w:fldChar w:fldCharType="end"/>
          </w:r>
        </w:p>
        <w:p>
          <w:pPr>
            <w:pStyle w:val="74"/>
            <w:tabs>
              <w:tab w:val="right" w:leader="dot" w:pos="8306"/>
            </w:tabs>
          </w:pPr>
          <w:r>
            <w:rPr>
              <w:bCs/>
            </w:rPr>
            <w:fldChar w:fldCharType="begin"/>
          </w:r>
          <w:r>
            <w:rPr>
              <w:bCs/>
            </w:rPr>
            <w:instrText xml:space="preserve"> HYPERLINK \l _Toc11190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_Toc27262 </w:instrText>
          </w:r>
          <w:r>
            <w:rPr>
              <w:bCs/>
            </w:rPr>
            <w:fldChar w:fldCharType="separate"/>
          </w:r>
          <w:r>
            <w:rPr>
              <w:rFonts w:hint="eastAsia" w:ascii="楷体" w:hAnsi="楷体" w:eastAsia="楷体"/>
              <w:bCs/>
            </w:rPr>
            <w:t>棉花：预计郑棉区间震荡，逢低买入</w:t>
          </w:r>
          <w:r>
            <w:rPr>
              <w:bCs/>
            </w:rPr>
            <w:fldChar w:fldCharType="end"/>
          </w:r>
        </w:p>
        <w:p>
          <w:pPr>
            <w:pStyle w:val="74"/>
            <w:tabs>
              <w:tab w:val="right" w:leader="dot" w:pos="8306"/>
            </w:tabs>
          </w:pPr>
          <w:r>
            <w:rPr>
              <w:bCs/>
            </w:rPr>
            <w:fldChar w:fldCharType="begin"/>
          </w:r>
          <w:r>
            <w:rPr>
              <w:bCs/>
            </w:rPr>
            <w:instrText xml:space="preserve"> HYPERLINK \l _Toc3709 </w:instrText>
          </w:r>
          <w:r>
            <w:rPr>
              <w:bCs/>
            </w:rPr>
            <w:fldChar w:fldCharType="separate"/>
          </w:r>
          <w:r>
            <w:rPr>
              <w:rFonts w:hint="eastAsia" w:ascii="楷体" w:hAnsi="楷体" w:eastAsia="楷体"/>
              <w:bCs/>
            </w:rPr>
            <w:t>蛋白粕：期价回落，震荡运行</w:t>
          </w:r>
          <w:r>
            <w:rPr>
              <w:bCs/>
            </w:rPr>
            <w:fldChar w:fldCharType="end"/>
          </w:r>
        </w:p>
        <w:p>
          <w:pPr>
            <w:pStyle w:val="74"/>
            <w:tabs>
              <w:tab w:val="right" w:leader="dot" w:pos="8306"/>
            </w:tabs>
          </w:pPr>
          <w:r>
            <w:rPr>
              <w:bCs/>
            </w:rPr>
            <w:fldChar w:fldCharType="begin"/>
          </w:r>
          <w:r>
            <w:rPr>
              <w:bCs/>
            </w:rPr>
            <w:instrText xml:space="preserve"> HYPERLINK \l _Toc19567 </w:instrText>
          </w:r>
          <w:r>
            <w:rPr>
              <w:bCs/>
            </w:rPr>
            <w:fldChar w:fldCharType="separate"/>
          </w:r>
          <w:r>
            <w:rPr>
              <w:rFonts w:hint="eastAsia" w:ascii="楷体" w:hAnsi="楷体" w:eastAsia="楷体"/>
              <w:bCs/>
            </w:rPr>
            <w:t>油脂类：棕榈油小跌，但反弹之势未止</w:t>
          </w:r>
          <w:r>
            <w:rPr>
              <w:bCs/>
            </w:rPr>
            <w:fldChar w:fldCharType="end"/>
          </w:r>
        </w:p>
        <w:p>
          <w:pPr>
            <w:pStyle w:val="59"/>
            <w:tabs>
              <w:tab w:val="right" w:leader="dot" w:pos="8306"/>
            </w:tabs>
          </w:pPr>
          <w:r>
            <w:rPr>
              <w:bCs/>
            </w:rPr>
            <w:fldChar w:fldCharType="begin"/>
          </w:r>
          <w:r>
            <w:rPr>
              <w:bCs/>
            </w:rPr>
            <w:instrText xml:space="preserve"> HYPERLINK \l _Toc29694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_Toc31629 </w:instrText>
          </w:r>
          <w:r>
            <w:rPr>
              <w:bCs/>
            </w:rPr>
            <w:fldChar w:fldCharType="separate"/>
          </w:r>
          <w:r>
            <w:rPr>
              <w:rFonts w:hint="eastAsia" w:ascii="Times New Roman" w:hAnsi="Times New Roman" w:eastAsia="楷体"/>
              <w:szCs w:val="24"/>
            </w:rPr>
            <w:t>集运指数（欧线）：SCFIS支撑近月合约，远月价格仍受压</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526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18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短线观望为主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国内中期基本面改善清晰度不足，A股行情中枢就不会发生明显变化，在基本面疲弱情况下，预计三季度将进一步施行逆周期政策，今日三中全会即将结束，改革方向也将会是三季度市场的重要催化因素，但由于市场预期暂不强，短线交易观望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37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4783"/>
      <w:r>
        <w:rPr>
          <w:rFonts w:hint="eastAsia" w:ascii="Times New Roman" w:hAnsi="Times New Roman" w:eastAsia="楷体"/>
          <w:b/>
          <w:color w:val="000000" w:themeColor="text1"/>
          <w:sz w:val="24"/>
          <w:szCs w:val="24"/>
          <w14:textFill>
            <w14:solidFill>
              <w14:schemeClr w14:val="tx1"/>
            </w14:solidFill>
          </w14:textFill>
        </w:rPr>
        <w:t>贵金属：褐皮书提示未来美国经济增长或放缓，贵金属价格下跌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0.60%至577.22元/克，沪银跌2.84%至7915元/千克。美联储经济状况褐皮书显示，大多数地区的经济活动在近期保持了轻微到适度的增长速度，由于即将到来的选举、国内政策、地缘政治冲突和通货膨胀的不确定性，预计未来六个月的经济增长将放缓。美联储理事沃勒称，距离需要降息的时间更进一步，近期数据令其对实现2%的通胀目标更有信心。CME美联储观察工具显示，美联储9月降息25个基点的概率为93.3%，降息50个基点概率为6.7%。周末美国前总统特朗普于竞选活动上遭遇未遂袭击，事件本身或提升特朗普胜选的概率，若特朗普当选，可能将延长企业减税、提高关税、减轻传统能源监管负担、限制移民，或加大美国通胀压力，令降息前景不确定性增大。</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1366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1406"/>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碳酸锂：现货价格持平，期价维持下跌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盘初略微高开随后回落，尾盘跌幅小幅扩大，11合约跌1.59%至86850元/吨。下游需求偏弱，三元材料价格微跌，6月开工率小幅下降至约34%，前期库存去化后或带来一定的锂盐原料补库需求。磷酸铁锂客供及代加工比例上升，碳酸锂原料价格下行后生产利润亏损有所缓解，需求仍维持较弱，多数按订单安排生产，部分企业面临下游延迟提货情况，磷酸铁锂企业6月整体开工率约50%，头部企业开工率维持于4-8成，中部企业开工率约3-4成。短线期价或试探前低支撑，传统金九银十旺季补库需求兑现前，走势或仍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32257"/>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市场情绪向弱，价格承压运行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在全球经济衰退和联储降息预期变化中情绪反复，国内政策预期走弱。基本面来看，铝土矿现实供应偏紧，印尼铝土矿出口禁令大概率放松，但对近月原料补充有限，氧化铝、电解铝冶炼厂开产积极，产量高居不下，铝棒、铝锭库存较同期水平处于高位，下游需求正处淡季，市场消化情绪不佳，外销订单也有所下降，供应宽松但原料仍为限制项，需求不佳但即将进入金九银十旺季，短期铝价承压偏弱运行，下方仍有支撑，暂看19500-19800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536"/>
      <w:r>
        <w:rPr>
          <w:rFonts w:hint="eastAsia" w:ascii="楷体" w:hAnsi="楷体" w:eastAsia="楷体"/>
          <w:b/>
          <w:color w:val="000000" w:themeColor="text1"/>
          <w:sz w:val="24"/>
          <w:szCs w:val="24"/>
          <w14:textFill>
            <w14:solidFill>
              <w14:schemeClr w14:val="tx1"/>
            </w14:solidFill>
          </w14:textFill>
        </w:rPr>
        <w:t>锌：锌价区间震荡为主</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表现反复，海外交易经济衰退和降息预期，国内政策面偏好，但现实政策刺激效果表现不及预期。基本面上看，锌矿TC加工费屡破新低，原料紧缺格局无明显改善，国内矿产增量较少，海外矿进口量受海外部分冶炼厂复产影响可能进一步收缩，部分冶炼厂因生产利润不足主动减停，1-6月精炼锌产量同比下降1.39%，厂内原料库存低位，需求上看，淡季表现平平但无超预期下行，金三银四即将到来消费有提振预期，受上下驱动影响，预计短期锌价依旧保持23000-25000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6478"/>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：维持震荡偏弱运行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(1)库存：7月17日，SHFE仓单库存252802吨，减1148吨；LME仓单库存221100吨，增4625吨。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(2)精废价差：7月17日，Mysteel精废价差1363，扩张41。目前价差在合理价差1486之下。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层面，国内政策预期再次走弱，整体市场情绪偏悲观，海外基于降息预期及经济走弱交易反复切换，短期持续性驱动不强。基本面，国内精炼铜产量维持高位，但再生环节收货因政策而难度增加，粗铜加工费已开始大幅降低，产量风险正在提升，LME库存近期延续回升态势给价格带来一定压力，短期价格维持震荡偏弱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3333"/>
      <w:r>
        <w:rPr>
          <w:rFonts w:hint="eastAsia" w:ascii="楷体" w:hAnsi="楷体" w:eastAsia="楷体"/>
          <w:b/>
          <w:color w:val="000000" w:themeColor="text1"/>
          <w:sz w:val="24"/>
          <w:szCs w:val="24"/>
          <w14:textFill>
            <w14:solidFill>
              <w14:schemeClr w14:val="tx1"/>
            </w14:solidFill>
          </w14:textFill>
        </w:rPr>
        <w:t>镍：宏观情绪偏弱，镍价震荡运行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开始持经济衰退担忧，宏观情绪偏弱。镍矿方面，印尼镍矿流通资源仍偏紧，因此印尼镍矿内贸升水维持高位。硫酸镍方面，三元材料厂家排产回温幅度有限，加上高库存有待消化，对硫酸镍需求仍疲弱，而亏损状态下硫酸镍厂家挺价情绪较强，预计硫酸镍价格弱稳为主。供应方面，若内外价差扩大，国产精炼镍品牌将继续积极寻求出口。需求方面则仍然无亮点可循。库存方面，国内社库维持去化，LME库存延续累库趋势。综合而言，镍过剩逻辑并未走完，中长期仍以逢高沽空思路为主，短期来看，镍基本面缺乏明显驱动，印尼镍矿现货偏紧形成产业链成本支撑，价格或跟随宏观情绪而波动，短期建议观望，关注印尼镍矿现货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9153"/>
      <w:r>
        <w:rPr>
          <w:rFonts w:hint="eastAsia" w:ascii="楷体" w:hAnsi="楷体" w:eastAsia="楷体"/>
          <w:b/>
          <w:color w:val="000000" w:themeColor="text1"/>
          <w:sz w:val="24"/>
          <w:szCs w:val="24"/>
          <w14:textFill>
            <w14:solidFill>
              <w14:schemeClr w14:val="tx1"/>
            </w14:solidFill>
          </w14:textFill>
        </w:rPr>
        <w:t>不锈钢：强成本弱需求，上下空间皆有限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下游需求走弱带来压力，同时镍矿价格坚挺居高不下也带来底部支撑，镍铁价格下调空间有限。铬铁方面，铬铁供应宽松，但铬矿成本高位，铬铁价格持稳为主。供应方面，为保持市场份额，7月以来，不锈钢厂减产力度有限，目前排产仍处于较高水平。需求方面，7月为传统淡季，下游成交不见起色，终端需求表现亦乏善可陈。库存方面，上周社库窄幅增加，仓单库存持续处于历史高位。综合而言，不锈钢价格临近产业成本边际线，继续下跌空间不大，而上方受需求疲弱和库存高位的压力，价格或呈现震荡磨底，主要运行区间为13600-14500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219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基本面较为宽松，或压制反弹高度</w:t>
      </w:r>
      <w:bookmarkEnd w:id="25"/>
    </w:p>
    <w:p>
      <w:pPr>
        <w:ind w:left="630" w:leftChars="300"/>
        <w:rPr>
          <w:rFonts w:ascii="楷体" w:hAnsi="楷体" w:eastAsia="楷体"/>
          <w:sz w:val="24"/>
          <w:szCs w:val="24"/>
        </w:rPr>
      </w:pPr>
      <w:r>
        <w:rPr>
          <w:rFonts w:hint="eastAsia" w:ascii="楷体" w:hAnsi="楷体" w:eastAsia="楷体"/>
          <w:sz w:val="24"/>
          <w:szCs w:val="24"/>
        </w:rPr>
        <w:t>7月17日，Si2409主力合约延续反弹走势，收盘价10705元/吨，较上一收盘价涨跌幅+1.04%。从基本面来看，北方处于开工高位，西南丰水期复产基本完成，供应整体充裕，而需求持续疲软，使得库存不断累库。目前基本面依旧较为宽松，或将压制盘面反弹高度，但也要留意三中全会召开，或加剧波动风险。策略上，谨慎资金暂时观望，激进资金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4021"/>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230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原料价格止跌企稳再度验证 橡胶下方空间有限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震荡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1042"/>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8955"/>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供应偏高厂家低价出货，期市价格受压</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夜盘主力合约微跌至1443元/吨。现货方面，浮法玻璃河北沙河大板现货上周继续下跌至1392元/吨，保持疲弱。库存方面，玻璃在产企业总库存为6358万重量箱，累库持续。</w:t>
      </w:r>
    </w:p>
    <w:p>
      <w:pPr>
        <w:ind w:left="630" w:leftChars="300"/>
        <w:rPr>
          <w:rFonts w:hint="eastAsia" w:ascii="楷体" w:hAnsi="楷体" w:eastAsia="楷体"/>
          <w:sz w:val="24"/>
          <w:szCs w:val="24"/>
        </w:rPr>
      </w:pPr>
      <w:r>
        <w:rPr>
          <w:rFonts w:hint="eastAsia" w:ascii="楷体" w:hAnsi="楷体" w:eastAsia="楷体"/>
          <w:sz w:val="24"/>
          <w:szCs w:val="24"/>
        </w:rPr>
        <w:t>华北、华东、华中和西南市场大多数企业库存增加，原因包括沙河部分企业价格下调、梅雨季和雨季影响、出货欠佳及外围价格下滑。华南市场除个别企业月底冲刺导致库存下降外，多数企业库存增加。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总体来看，玻璃生产特性导致供应保持高位，下游需求疲弱纷纷低价出货。短期内预计期价弱震荡建议观望。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11778"/>
      <w:r>
        <w:rPr>
          <w:rFonts w:hint="eastAsia" w:ascii="Times New Roman" w:hAnsi="Times New Roman" w:eastAsia="楷体"/>
          <w:b/>
          <w:color w:val="000000" w:themeColor="text1"/>
          <w:sz w:val="24"/>
          <w:szCs w:val="24"/>
          <w14:textFill>
            <w14:solidFill>
              <w14:schemeClr w14:val="tx1"/>
            </w14:solidFill>
          </w14:textFill>
        </w:rPr>
        <w:t>纯碱：下游需求趋稳产量回升，期价持续偏弱运行</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盘面来看，夜盘纯碱主力合约2409收于1912元/吨，再次回落。</w:t>
      </w:r>
    </w:p>
    <w:p>
      <w:pPr>
        <w:ind w:left="630" w:leftChars="300"/>
        <w:rPr>
          <w:rFonts w:hint="eastAsia" w:ascii="楷体" w:hAnsi="楷体" w:eastAsia="楷体"/>
          <w:sz w:val="24"/>
          <w:szCs w:val="24"/>
        </w:rPr>
      </w:pPr>
      <w:r>
        <w:rPr>
          <w:rFonts w:hint="eastAsia" w:ascii="楷体" w:hAnsi="楷体" w:eastAsia="楷体"/>
          <w:sz w:val="24"/>
          <w:szCs w:val="24"/>
        </w:rPr>
        <w:t>现货来看，国内价格有调降迹象，截至目前，华北重碱、华中轻碱价格保持偏弱；本周纯碱行业开工率86.26%，录得上升。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w:t>
      </w:r>
    </w:p>
    <w:p>
      <w:pPr>
        <w:ind w:left="630" w:leftChars="300"/>
        <w:rPr>
          <w:rFonts w:ascii="楷体" w:hAnsi="楷体" w:eastAsia="楷体"/>
          <w:sz w:val="24"/>
          <w:szCs w:val="24"/>
        </w:rPr>
      </w:pPr>
      <w:r>
        <w:rPr>
          <w:rFonts w:hint="eastAsia" w:ascii="楷体" w:hAnsi="楷体" w:eastAsia="楷体"/>
          <w:sz w:val="24"/>
          <w:szCs w:val="24"/>
        </w:rPr>
        <w:t>目前，厂家仍有利润空间产量逐步提升，需求虽然较稳但仍处于供过于求格局，短期预计纯碱现货价格偏弱，后市仍需主要关注供应端变动情况。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11387"/>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hint="eastAsia" w:ascii="楷体" w:hAnsi="楷体" w:eastAsia="楷体"/>
          <w:b/>
        </w:rPr>
      </w:pPr>
      <w:bookmarkStart w:id="33" w:name="_Toc1142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期价反弹乏力</w:t>
      </w:r>
      <w:bookmarkEnd w:id="33"/>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持续快速下跌的直接原因有二，一方面是外盘再创新低，带动进口成本继续下滑，另一方面是国内陈稻抛储传言再起，这有望增加市场供应。背后逻辑在于年度产需缺口迟迟未能体现，东北产区现货高价往华北产区和南方销区传导不畅而难以持续，市场担心再度出现类似于2019年现货崩盘的情况。我们对此持保留意见，因我们倾向于国家不太可能降价抛储陈化水稻，而在国家增储之后小麦饲用替代量有望大幅下降，随着生猪和蛋禽养殖利润带动畜禽存栏对应饲料需求环比改善，国内旧作玉米产需缺口仍有望逐步显现，继而可能改变新作供需格局。基于这样的判断，近期期价加速下跌之后，近月合约已经贴水现货，前期现货滞涨容易带动盘面下跌/回落的逻辑已经转为现货抗跌容易带动盘面反弹/上涨。在这种情况下，维持谨慎看多观点，但建议投资者暂以观望为宜，静待风险释放。</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补跌带动淀粉-玉米价差出现较大幅度回落，但再度倾向于认为淀粉-玉米价差仍有望阶段性走扩，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2401"/>
      <w:r>
        <w:rPr>
          <w:rFonts w:hint="eastAsia" w:ascii="楷体" w:hAnsi="楷体" w:eastAsia="楷体"/>
          <w:b/>
          <w:bCs/>
          <w:color w:val="000000" w:themeColor="text1"/>
          <w14:textFill>
            <w14:solidFill>
              <w14:schemeClr w14:val="tx1"/>
            </w14:solidFill>
          </w14:textFill>
        </w:rPr>
        <w:t>畜禽养殖：期价震荡偏强</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六月中旬以来现货逐步转弱，主要源于猪价高企对需求的压制及其气温上升对压栏/二次育肥的影响。值得留意的是，市场能阶段性出栏带动体重下降，反而有利于后期至少是三季度猪价上涨。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11190"/>
      <w:r>
        <w:rPr>
          <w:rFonts w:hint="eastAsia" w:ascii="楷体" w:hAnsi="楷体" w:eastAsia="楷体"/>
          <w:b/>
          <w:bCs/>
          <w:color w:val="000000" w:themeColor="text1"/>
          <w14:textFill>
            <w14:solidFill>
              <w14:schemeClr w14:val="tx1"/>
            </w14:solidFill>
          </w14:textFill>
        </w:rPr>
        <w:t>白糖：区间波段式震荡整理</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夜盘外盘纽约原糖主力合约和伦敦白砂糖主力合约分别下跌1.32%和0.91%。巴西航运机构Williams发布的数据显示，截至7月10日当周，巴西港口等待装运食糖的船只数量为89艘，此前周为96艘。港口等待装运的食糖数量为392.24万吨，此前一周为422.63万吨。在当周等待出口的食糖总量中，高等级原糖(VHP)数量为383.69万吨。国内夜盘白糖主力合约下跌0.33%。国内在传统旺季的刚需驱使下，终端采购积极性增强，去库存进程加快，库存压力减轻，期价存在一定支撑。预计白糖整体或形成区间波段走势，区间6000-6300，可考虑高抛低吸。</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27262"/>
      <w:r>
        <w:rPr>
          <w:rFonts w:hint="eastAsia" w:ascii="楷体" w:hAnsi="楷体" w:eastAsia="楷体"/>
          <w:b/>
          <w:bCs/>
          <w:color w:val="000000" w:themeColor="text1"/>
          <w14:textFill>
            <w14:solidFill>
              <w14:schemeClr w14:val="tx1"/>
            </w14:solidFill>
          </w14:textFill>
        </w:rPr>
        <w:t>棉花：预计郑棉区间震荡，逢低买入</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夜盘美棉主力上涨1.12%。国内夜盘，郑棉主力上涨0.10%。据棉花信息网消息，截止6月底，全国棉花商业库存327.35万吨，环比减少50.06万吨，同比增加37.66万吨。其中，新疆疆内棉花库存为193.03万吨。国内部分纺织企业表示近期订单略有好转，但纱线价格指数尚未企稳，市场继续等待旺季的到来。郑棉在14500元/吨寻得初步支撑，但仍缺乏强有力的推动因素，预计短期内继续温和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3709"/>
      <w:r>
        <w:rPr>
          <w:rFonts w:hint="eastAsia" w:ascii="楷体" w:hAnsi="楷体" w:eastAsia="楷体"/>
          <w:b/>
          <w:bCs/>
          <w:color w:val="000000" w:themeColor="text1"/>
          <w14:textFill>
            <w14:solidFill>
              <w14:schemeClr w14:val="tx1"/>
            </w14:solidFill>
          </w14:textFill>
        </w:rPr>
        <w:t>蛋白粕：期价回落，震荡运行</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除菜籽上涨外，其他品种全线下跌。豆粕主力合约下跌0.70%，菜粕主力合约下跌1.39%，短暂的期价反弹后再度回落。美豆天气改善预期下空头投机资金不断加注，利多驱动有限，豆系关注美豆种植天气与新作采购情况。菜籽基本面市场变化不大，菜籽及菜粕库存仍处于同期高位附近，随着天气回暖，下游水产养殖需求逐渐上量，但目前菜粕成交量依然惨淡。由于二季度进口菜籽压榨利润较好，我国进口加拿大菜籽买船增多。目前来看，菜粕由于市场资金情绪炒作而触底反弹，豆粕被带动减仓上行，但基本面疲弱并未改变。脱离基本面变动的行情无法持续，期价回落。</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9567"/>
      <w:r>
        <w:rPr>
          <w:rFonts w:hint="eastAsia" w:ascii="楷体" w:hAnsi="楷体" w:eastAsia="楷体"/>
          <w:b/>
          <w:bCs/>
          <w:color w:val="000000" w:themeColor="text1"/>
          <w14:textFill>
            <w14:solidFill>
              <w14:schemeClr w14:val="tx1"/>
            </w14:solidFill>
          </w14:textFill>
        </w:rPr>
        <w:t>油脂类：棕榈油小跌，但反弹之势未止</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三大油脂小幅下跌，豆油主力合约下跌0.55%，菜油下跌0.04%，棕榈油下跌0.43%。昨日棕榈油冲高回落，震荡收涨。马棕油出口强劲提振期价，但供应端压力仍存，价格上方有压力。国内市场，国内油脂震荡偏强，但仍未摆脱震荡区间。近期国内棕榈油跟随马棕油大幅走高，棕榈油表现强于豆油和菜油，这使得棕榈油的需求被其他油脂类挤占。保持区间震荡的操作思路对待为宜，低吸高抛为主。</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29694"/>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31629"/>
      <w:r>
        <w:rPr>
          <w:rFonts w:hint="eastAsia" w:ascii="Times New Roman" w:hAnsi="Times New Roman" w:eastAsia="楷体"/>
          <w:b/>
          <w:color w:val="000000" w:themeColor="text1"/>
          <w:sz w:val="24"/>
          <w:szCs w:val="24"/>
          <w14:textFill>
            <w14:solidFill>
              <w14:schemeClr w14:val="tx1"/>
            </w14:solidFill>
          </w14:textFill>
        </w:rPr>
        <w:t>集运指数（欧线）：SCFIS支撑近月合约，远月价格仍受压</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集运指数：SCFIS支撑近月合约，远月价格仍受压</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现货方面，7月12日，上海港出口至欧洲基本港市场运价（SCFI欧线）为5051美元/TEU，较上期上涨4%，重回上涨。7月15日盘后公布，SCFIS欧线最新为6002.23点，环比上涨10.5%，涨幅放缓。</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船司们继续提价支撑近月合约：市场情绪受助于马士基开舱价格有所提振。马士基开放第30周欧线，上海至弗利克斯托大柜报价7900美金，较第29周开舱价格高出100美金。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需求端来看，据标普全球发布的数据显示，主要国家德国和法国数据均出现下滑，显示出欧洲经济基础尚不牢固，未来经济复苏的进程可能要慢于预期。</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总体来看，最新SCFIS最新数据超6千点，因此主力合约短期有支撑。远月合约则受地缘局势反覆影响，建议投资者谨慎操作。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71212556"/>
      <w:bookmarkStart w:id="42" w:name="_Toc72481108"/>
      <w:bookmarkStart w:id="43" w:name="_Toc19667"/>
      <w:bookmarkStart w:id="44" w:name="_Toc98426751"/>
      <w:bookmarkStart w:id="45" w:name="_Toc12779"/>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2024年7月18日星期四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AF4829"/>
    <w:rsid w:val="4FBA2B77"/>
    <w:rsid w:val="4FD46E6F"/>
    <w:rsid w:val="5005695E"/>
    <w:rsid w:val="50286811"/>
    <w:rsid w:val="50700F42"/>
    <w:rsid w:val="51266B84"/>
    <w:rsid w:val="51642661"/>
    <w:rsid w:val="5191036A"/>
    <w:rsid w:val="52940E89"/>
    <w:rsid w:val="546B5509"/>
    <w:rsid w:val="548642E9"/>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2024-07-18T02:01:15Z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