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_Toc10446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_Toc13225 </w:instrText>
          </w:r>
          <w:r>
            <w:rPr>
              <w:bCs/>
            </w:rPr>
            <w:fldChar w:fldCharType="separate"/>
          </w:r>
          <w:r>
            <w:rPr>
              <w:rFonts w:hint="eastAsia" w:ascii="Times New Roman" w:hAnsi="Times New Roman" w:eastAsia="楷体"/>
              <w:szCs w:val="24"/>
            </w:rPr>
            <w:t>股指：短线观望为主</w:t>
          </w:r>
          <w:r>
            <w:rPr>
              <w:bCs/>
            </w:rPr>
            <w:fldChar w:fldCharType="end"/>
          </w:r>
        </w:p>
        <w:p>
          <w:pPr>
            <w:pStyle w:val="59"/>
            <w:tabs>
              <w:tab w:val="right" w:leader="dot" w:pos="8306"/>
            </w:tabs>
          </w:pPr>
          <w:r>
            <w:rPr>
              <w:bCs/>
            </w:rPr>
            <w:fldChar w:fldCharType="begin"/>
          </w:r>
          <w:r>
            <w:rPr>
              <w:bCs/>
            </w:rPr>
            <w:instrText xml:space="preserve"> HYPERLINK \l _Toc17457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_Toc16383 </w:instrText>
          </w:r>
          <w:r>
            <w:rPr>
              <w:bCs/>
            </w:rPr>
            <w:fldChar w:fldCharType="separate"/>
          </w:r>
          <w:r>
            <w:rPr>
              <w:rFonts w:hint="eastAsia" w:ascii="Times New Roman" w:hAnsi="Times New Roman" w:eastAsia="楷体"/>
              <w:szCs w:val="24"/>
            </w:rPr>
            <w:t>贵金属：美国消费者信心指数下行，沪金小幅上涨</w:t>
          </w:r>
          <w:r>
            <w:rPr>
              <w:bCs/>
            </w:rPr>
            <w:fldChar w:fldCharType="end"/>
          </w:r>
        </w:p>
        <w:p>
          <w:pPr>
            <w:pStyle w:val="59"/>
            <w:tabs>
              <w:tab w:val="right" w:leader="dot" w:pos="8306"/>
            </w:tabs>
          </w:pPr>
          <w:r>
            <w:rPr>
              <w:bCs/>
            </w:rPr>
            <w:fldChar w:fldCharType="begin"/>
          </w:r>
          <w:r>
            <w:rPr>
              <w:bCs/>
            </w:rPr>
            <w:instrText xml:space="preserve"> HYPERLINK \l _Toc16978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_Toc8279 </w:instrText>
          </w:r>
          <w:r>
            <w:rPr>
              <w:bCs/>
            </w:rPr>
            <w:fldChar w:fldCharType="separate"/>
          </w:r>
          <w:r>
            <w:rPr>
              <w:rFonts w:hint="eastAsia" w:ascii="楷体" w:hAnsi="楷体" w:eastAsia="楷体"/>
              <w:szCs w:val="24"/>
            </w:rPr>
            <w:t>碳酸锂：现货价格微跌，期价小幅下行</w:t>
          </w:r>
          <w:r>
            <w:rPr>
              <w:bCs/>
            </w:rPr>
            <w:fldChar w:fldCharType="end"/>
          </w:r>
        </w:p>
        <w:p>
          <w:pPr>
            <w:pStyle w:val="74"/>
            <w:tabs>
              <w:tab w:val="right" w:leader="dot" w:pos="8306"/>
            </w:tabs>
          </w:pPr>
          <w:r>
            <w:rPr>
              <w:bCs/>
            </w:rPr>
            <w:fldChar w:fldCharType="begin"/>
          </w:r>
          <w:r>
            <w:rPr>
              <w:bCs/>
            </w:rPr>
            <w:instrText xml:space="preserve"> HYPERLINK \l _Toc17601 </w:instrText>
          </w:r>
          <w:r>
            <w:rPr>
              <w:bCs/>
            </w:rPr>
            <w:fldChar w:fldCharType="separate"/>
          </w:r>
          <w:r>
            <w:rPr>
              <w:rFonts w:hint="eastAsia" w:ascii="楷体" w:hAnsi="楷体" w:eastAsia="楷体"/>
              <w:szCs w:val="24"/>
            </w:rPr>
            <w:t>铝：驱动有限，短期承压运行</w:t>
          </w:r>
          <w:r>
            <w:rPr>
              <w:bCs/>
            </w:rPr>
            <w:fldChar w:fldCharType="end"/>
          </w:r>
        </w:p>
        <w:p>
          <w:pPr>
            <w:pStyle w:val="74"/>
            <w:tabs>
              <w:tab w:val="right" w:leader="dot" w:pos="8306"/>
            </w:tabs>
          </w:pPr>
          <w:r>
            <w:rPr>
              <w:bCs/>
            </w:rPr>
            <w:fldChar w:fldCharType="begin"/>
          </w:r>
          <w:r>
            <w:rPr>
              <w:bCs/>
            </w:rPr>
            <w:instrText xml:space="preserve"> HYPERLINK \l _Toc5059 </w:instrText>
          </w:r>
          <w:r>
            <w:rPr>
              <w:bCs/>
            </w:rPr>
            <w:fldChar w:fldCharType="separate"/>
          </w:r>
          <w:r>
            <w:rPr>
              <w:rFonts w:hint="eastAsia" w:ascii="楷体" w:hAnsi="楷体" w:eastAsia="楷体"/>
              <w:szCs w:val="24"/>
            </w:rPr>
            <w:t>锌：锌价上下有限，维持震荡行情</w:t>
          </w:r>
          <w:r>
            <w:rPr>
              <w:bCs/>
            </w:rPr>
            <w:fldChar w:fldCharType="end"/>
          </w:r>
        </w:p>
        <w:p>
          <w:pPr>
            <w:pStyle w:val="74"/>
            <w:tabs>
              <w:tab w:val="right" w:leader="dot" w:pos="8306"/>
            </w:tabs>
          </w:pPr>
          <w:r>
            <w:rPr>
              <w:bCs/>
            </w:rPr>
            <w:fldChar w:fldCharType="begin"/>
          </w:r>
          <w:r>
            <w:rPr>
              <w:bCs/>
            </w:rPr>
            <w:instrText xml:space="preserve"> HYPERLINK \l _Toc19179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：全球经济放缓背景下铜价承压运行</w:t>
          </w:r>
          <w:r>
            <w:rPr>
              <w:bCs/>
            </w:rPr>
            <w:fldChar w:fldCharType="end"/>
          </w:r>
        </w:p>
        <w:p>
          <w:pPr>
            <w:pStyle w:val="74"/>
            <w:tabs>
              <w:tab w:val="right" w:leader="dot" w:pos="8306"/>
            </w:tabs>
          </w:pPr>
          <w:r>
            <w:rPr>
              <w:bCs/>
            </w:rPr>
            <w:fldChar w:fldCharType="begin"/>
          </w:r>
          <w:r>
            <w:rPr>
              <w:bCs/>
            </w:rPr>
            <w:instrText xml:space="preserve"> HYPERLINK \l _Toc28192 </w:instrText>
          </w:r>
          <w:r>
            <w:rPr>
              <w:bCs/>
            </w:rPr>
            <w:fldChar w:fldCharType="separate"/>
          </w:r>
          <w:r>
            <w:rPr>
              <w:rFonts w:hint="eastAsia" w:ascii="楷体" w:hAnsi="楷体" w:eastAsia="楷体"/>
              <w:szCs w:val="24"/>
            </w:rPr>
            <w:t>镍：基本面无明显驱动，或跟随宏观区间震荡</w:t>
          </w:r>
          <w:r>
            <w:rPr>
              <w:bCs/>
            </w:rPr>
            <w:fldChar w:fldCharType="end"/>
          </w:r>
        </w:p>
        <w:p>
          <w:pPr>
            <w:pStyle w:val="74"/>
            <w:tabs>
              <w:tab w:val="right" w:leader="dot" w:pos="8306"/>
            </w:tabs>
          </w:pPr>
          <w:r>
            <w:rPr>
              <w:bCs/>
            </w:rPr>
            <w:fldChar w:fldCharType="begin"/>
          </w:r>
          <w:r>
            <w:rPr>
              <w:bCs/>
            </w:rPr>
            <w:instrText xml:space="preserve"> HYPERLINK \l _Toc19177 </w:instrText>
          </w:r>
          <w:r>
            <w:rPr>
              <w:bCs/>
            </w:rPr>
            <w:fldChar w:fldCharType="separate"/>
          </w:r>
          <w:r>
            <w:rPr>
              <w:rFonts w:hint="eastAsia" w:ascii="楷体" w:hAnsi="楷体" w:eastAsia="楷体"/>
              <w:szCs w:val="24"/>
            </w:rPr>
            <w:t>不锈钢：强成本弱需求，价格震荡磨底</w:t>
          </w:r>
          <w:r>
            <w:rPr>
              <w:bCs/>
            </w:rPr>
            <w:fldChar w:fldCharType="end"/>
          </w:r>
        </w:p>
        <w:p>
          <w:pPr>
            <w:pStyle w:val="74"/>
            <w:tabs>
              <w:tab w:val="right" w:leader="dot" w:pos="8306"/>
            </w:tabs>
          </w:pPr>
          <w:r>
            <w:rPr>
              <w:bCs/>
            </w:rPr>
            <w:fldChar w:fldCharType="begin"/>
          </w:r>
          <w:r>
            <w:rPr>
              <w:bCs/>
            </w:rPr>
            <w:instrText xml:space="preserve"> HYPERLINK \l _Toc16388 </w:instrText>
          </w:r>
          <w:r>
            <w:rPr>
              <w:bCs/>
            </w:rPr>
            <w:fldChar w:fldCharType="separate"/>
          </w:r>
          <w:r>
            <w:rPr>
              <w:rFonts w:hint="eastAsia" w:ascii="楷体" w:hAnsi="楷体" w:eastAsia="楷体"/>
              <w:szCs w:val="24"/>
            </w:rPr>
            <w:t>工业硅：基本面维持宽松，盘面承压下行</w:t>
          </w:r>
          <w:r>
            <w:rPr>
              <w:bCs/>
            </w:rPr>
            <w:fldChar w:fldCharType="end"/>
          </w:r>
        </w:p>
        <w:p>
          <w:pPr>
            <w:pStyle w:val="59"/>
            <w:tabs>
              <w:tab w:val="right" w:leader="dot" w:pos="8306"/>
            </w:tabs>
          </w:pPr>
          <w:r>
            <w:rPr>
              <w:bCs/>
            </w:rPr>
            <w:fldChar w:fldCharType="begin"/>
          </w:r>
          <w:r>
            <w:rPr>
              <w:bCs/>
            </w:rPr>
            <w:instrText xml:space="preserve"> HYPERLINK \l _Toc25146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_Toc19251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 橡胶下方空间有限</w:t>
          </w:r>
          <w:r>
            <w:rPr>
              <w:bCs/>
            </w:rPr>
            <w:fldChar w:fldCharType="end"/>
          </w:r>
        </w:p>
        <w:p>
          <w:pPr>
            <w:pStyle w:val="74"/>
            <w:tabs>
              <w:tab w:val="right" w:leader="dot" w:pos="8306"/>
            </w:tabs>
          </w:pPr>
          <w:r>
            <w:rPr>
              <w:bCs/>
            </w:rPr>
            <w:fldChar w:fldCharType="begin"/>
          </w:r>
          <w:r>
            <w:rPr>
              <w:bCs/>
            </w:rPr>
            <w:instrText xml:space="preserve"> HYPERLINK \l _Toc25833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_Toc3988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终端需求疲弱，现货持续下行压力较大</w:t>
          </w:r>
          <w:r>
            <w:rPr>
              <w:bCs/>
            </w:rPr>
            <w:fldChar w:fldCharType="end"/>
          </w:r>
        </w:p>
        <w:p>
          <w:pPr>
            <w:pStyle w:val="74"/>
            <w:tabs>
              <w:tab w:val="right" w:leader="dot" w:pos="8306"/>
            </w:tabs>
          </w:pPr>
          <w:r>
            <w:rPr>
              <w:bCs/>
            </w:rPr>
            <w:fldChar w:fldCharType="begin"/>
          </w:r>
          <w:r>
            <w:rPr>
              <w:bCs/>
            </w:rPr>
            <w:instrText xml:space="preserve"> HYPERLINK \l _Toc1824 </w:instrText>
          </w:r>
          <w:r>
            <w:rPr>
              <w:bCs/>
            </w:rPr>
            <w:fldChar w:fldCharType="separate"/>
          </w:r>
          <w:r>
            <w:rPr>
              <w:rFonts w:hint="eastAsia" w:ascii="Times New Roman" w:hAnsi="Times New Roman" w:eastAsia="楷体"/>
              <w:szCs w:val="24"/>
            </w:rPr>
            <w:t>纯碱：供应消息扰动告一段落期价大幅下行，未来或维持弱震荡</w:t>
          </w:r>
          <w:r>
            <w:rPr>
              <w:bCs/>
            </w:rPr>
            <w:fldChar w:fldCharType="end"/>
          </w:r>
        </w:p>
        <w:p>
          <w:pPr>
            <w:pStyle w:val="59"/>
            <w:tabs>
              <w:tab w:val="right" w:leader="dot" w:pos="8306"/>
            </w:tabs>
          </w:pPr>
          <w:r>
            <w:rPr>
              <w:bCs/>
            </w:rPr>
            <w:fldChar w:fldCharType="begin"/>
          </w:r>
          <w:r>
            <w:rPr>
              <w:bCs/>
            </w:rPr>
            <w:instrText xml:space="preserve"> HYPERLINK \l _Toc23807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_Toc31819 </w:instrText>
          </w:r>
          <w:r>
            <w:rPr>
              <w:bCs/>
            </w:rPr>
            <w:fldChar w:fldCharType="separate"/>
          </w:r>
          <w:r>
            <w:rPr>
              <w:rFonts w:hint="eastAsia" w:ascii="楷体" w:hAnsi="楷体" w:eastAsia="楷体"/>
              <w:bCs/>
            </w:rPr>
            <w:t>玉米与淀粉：</w:t>
          </w:r>
          <w:r>
            <w:rPr>
              <w:rFonts w:hint="eastAsia" w:ascii="楷体" w:hAnsi="楷体" w:eastAsia="楷体"/>
            </w:rPr>
            <w:t>期价加速下跌</w:t>
          </w:r>
          <w:r>
            <w:rPr>
              <w:bCs/>
            </w:rPr>
            <w:fldChar w:fldCharType="end"/>
          </w:r>
        </w:p>
        <w:p>
          <w:pPr>
            <w:pStyle w:val="74"/>
            <w:tabs>
              <w:tab w:val="right" w:leader="dot" w:pos="8306"/>
            </w:tabs>
          </w:pPr>
          <w:r>
            <w:rPr>
              <w:bCs/>
            </w:rPr>
            <w:fldChar w:fldCharType="begin"/>
          </w:r>
          <w:r>
            <w:rPr>
              <w:bCs/>
            </w:rPr>
            <w:instrText xml:space="preserve"> HYPERLINK \l _Toc30816 </w:instrText>
          </w:r>
          <w:r>
            <w:rPr>
              <w:bCs/>
            </w:rPr>
            <w:fldChar w:fldCharType="separate"/>
          </w:r>
          <w:r>
            <w:rPr>
              <w:rFonts w:hint="eastAsia" w:ascii="楷体" w:hAnsi="楷体" w:eastAsia="楷体"/>
              <w:bCs/>
            </w:rPr>
            <w:t>畜禽养殖：期价近强远弱严重分化</w:t>
          </w:r>
          <w:r>
            <w:rPr>
              <w:bCs/>
            </w:rPr>
            <w:fldChar w:fldCharType="end"/>
          </w:r>
        </w:p>
        <w:p>
          <w:pPr>
            <w:pStyle w:val="74"/>
            <w:tabs>
              <w:tab w:val="right" w:leader="dot" w:pos="8306"/>
            </w:tabs>
          </w:pPr>
          <w:r>
            <w:rPr>
              <w:bCs/>
            </w:rPr>
            <w:fldChar w:fldCharType="begin"/>
          </w:r>
          <w:r>
            <w:rPr>
              <w:bCs/>
            </w:rPr>
            <w:instrText xml:space="preserve"> HYPERLINK \l _Toc37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_Toc5886 </w:instrText>
          </w:r>
          <w:r>
            <w:rPr>
              <w:bCs/>
            </w:rPr>
            <w:fldChar w:fldCharType="separate"/>
          </w:r>
          <w:r>
            <w:rPr>
              <w:rFonts w:hint="eastAsia" w:ascii="楷体" w:hAnsi="楷体" w:eastAsia="楷体"/>
              <w:bCs/>
            </w:rPr>
            <w:t>棉花：预计郑棉温和震荡寻底</w:t>
          </w:r>
          <w:r>
            <w:rPr>
              <w:bCs/>
            </w:rPr>
            <w:fldChar w:fldCharType="end"/>
          </w:r>
        </w:p>
        <w:p>
          <w:pPr>
            <w:pStyle w:val="74"/>
            <w:tabs>
              <w:tab w:val="right" w:leader="dot" w:pos="8306"/>
            </w:tabs>
          </w:pPr>
          <w:r>
            <w:rPr>
              <w:bCs/>
            </w:rPr>
            <w:fldChar w:fldCharType="begin"/>
          </w:r>
          <w:r>
            <w:rPr>
              <w:bCs/>
            </w:rPr>
            <w:instrText xml:space="preserve"> HYPERLINK \l _Toc8555 </w:instrText>
          </w:r>
          <w:r>
            <w:rPr>
              <w:bCs/>
            </w:rPr>
            <w:fldChar w:fldCharType="separate"/>
          </w:r>
          <w:r>
            <w:rPr>
              <w:rFonts w:hint="eastAsia" w:ascii="楷体" w:hAnsi="楷体" w:eastAsia="楷体"/>
              <w:bCs/>
            </w:rPr>
            <w:t>蛋白粕：两粕下挫，再创新低</w:t>
          </w:r>
          <w:r>
            <w:rPr>
              <w:bCs/>
            </w:rPr>
            <w:fldChar w:fldCharType="end"/>
          </w:r>
        </w:p>
        <w:p>
          <w:pPr>
            <w:pStyle w:val="74"/>
            <w:tabs>
              <w:tab w:val="right" w:leader="dot" w:pos="8306"/>
            </w:tabs>
          </w:pPr>
          <w:r>
            <w:rPr>
              <w:bCs/>
            </w:rPr>
            <w:fldChar w:fldCharType="begin"/>
          </w:r>
          <w:r>
            <w:rPr>
              <w:bCs/>
            </w:rPr>
            <w:instrText xml:space="preserve"> HYPERLINK \l _Toc18663 </w:instrText>
          </w:r>
          <w:r>
            <w:rPr>
              <w:bCs/>
            </w:rPr>
            <w:fldChar w:fldCharType="separate"/>
          </w:r>
          <w:r>
            <w:rPr>
              <w:rFonts w:hint="eastAsia" w:ascii="楷体" w:hAnsi="楷体" w:eastAsia="楷体"/>
              <w:bCs/>
            </w:rPr>
            <w:t>油脂类：供强需弱使油类偏弱运行</w:t>
          </w:r>
          <w:r>
            <w:rPr>
              <w:bCs/>
            </w:rPr>
            <w:fldChar w:fldCharType="end"/>
          </w:r>
        </w:p>
        <w:p>
          <w:pPr>
            <w:pStyle w:val="59"/>
            <w:tabs>
              <w:tab w:val="right" w:leader="dot" w:pos="8306"/>
            </w:tabs>
          </w:pPr>
          <w:r>
            <w:rPr>
              <w:bCs/>
            </w:rPr>
            <w:fldChar w:fldCharType="begin"/>
          </w:r>
          <w:r>
            <w:rPr>
              <w:bCs/>
            </w:rPr>
            <w:instrText xml:space="preserve"> HYPERLINK \l _Toc8982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_Toc29649 </w:instrText>
          </w:r>
          <w:r>
            <w:rPr>
              <w:bCs/>
            </w:rPr>
            <w:fldChar w:fldCharType="separate"/>
          </w:r>
          <w:r>
            <w:rPr>
              <w:rFonts w:hint="eastAsia" w:ascii="Times New Roman" w:hAnsi="Times New Roman" w:eastAsia="楷体"/>
              <w:szCs w:val="24"/>
            </w:rPr>
            <w:t>集运指数（欧线）：上周多头情绪冷却高位回落，最新订舱价格小幅上升</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044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322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尽管上周下半周，市场接连出现利好信号，但市场行情演绎主线和强度是弱于预期的，主要原因在于，国内中期基本面改善清晰度就不足，A股行情中枢就不会发生明显变化，短期更多倾向于是极度低迷的预期下出现利好刺激带动的超跌反弹和轮动行情。 三中全会即将到来，预计政策将会是三季度市场的重要催化因素。</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此外，近期海外宏观因素对A股短线情绪或产生一定影响。周末，川普意外遇袭，受情绪化影响，川普支持率大涨，加大其胜出概率，但后续枪手身份以及民主党进一步动作，都将带来更多的政治不确定性。</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45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383"/>
      <w:r>
        <w:rPr>
          <w:rFonts w:hint="eastAsia" w:ascii="Times New Roman" w:hAnsi="Times New Roman" w:eastAsia="楷体"/>
          <w:b/>
          <w:color w:val="000000" w:themeColor="text1"/>
          <w:sz w:val="24"/>
          <w:szCs w:val="24"/>
          <w14:textFill>
            <w14:solidFill>
              <w14:schemeClr w14:val="tx1"/>
            </w14:solidFill>
          </w14:textFill>
        </w:rPr>
        <w:t>贵金属：美国消费者信心指数下行，沪金小幅上涨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上周五夜盘涨0.18%至570.70元/克，上周整体上涨1.35%；沪银上周五夜盘跌1.11%至8123元/千克，上周整体下跌0.87%。美国7月密歇根大学消费者信心指数初值回落至66，低于前值的68.2和预期值的68.5。美联储古尔斯比表示，美国劳动力市场降温但仍然强劲，6月的通胀报告非常出色，根据数据情况，可以考虑一次降息或者一系列降息。美联储穆萨勒姆表示，最近数据表明美联储在控制通胀方面取得了进展，目前利率水平是适当的，经济走在良好的轨道上。美国6月CPI通胀降温，强化了对于美联储能够提前启动降息的预期，当前海外市场定价美联储或于9月启动降息。美国前总统特朗普在宾夕法尼亚州竞选集会发表演讲时遭遇袭击，右耳上部被子弹击穿，事件或令海外市场避险情绪升温，短线贵金属价格或偏强运行。利率下行的环境利好贵金属价格表现，中长线观点维持偏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697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8279"/>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碳酸锂：现货价格微跌，期价小幅下行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微跌，期价小幅下行，上周五11合约跌0.54%至91350元/吨，上周整体下跌2.72%。7月10日雅保完成14000吨锂辉石精矿招标，以CIF中国980美元/吨价格成交。2024年6月，中国新能源汽车国内及出口销量总计104.9万辆，环比增10%，同比增33%，以旧换新政策后续或推动销量逐步上行。期价或维持偏弱震荡，参考区间85000-98000元/吨，关注前低附近支撑。持续关注传统金九银十旺季前补库需求兑现情况，由于供应相对过剩的预期相对较难扭转，中长期角度建议仍维持偏空思路。</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760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驱动有限，短期承压运行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6月CPI同比数据低于预期，美国经济环境疲软，海外对经济衰退的担持续发酵，欧美针对国内电动车征收临时反补贴税，整体上看宏观情绪扰动向弱。目前铝土矿供应仍维持偏紧状态，外媒宣传印尼铝土矿窗口打开，引发市场恐慌情绪，氧化铝盘面价大幅下跌，消息面暂未证伪，氧化铝现货价格依旧坚挺不降反增，电解铝厂原料库存低位，强成本支撑依旧有效，进口盈亏窗口持续关闭，进口铝锭补充有限，国内电解铝运行产能高位供应宽松，铝锭、铝棒在传统淡季去库周期反向累库，近期铝价走弱带动下游刚需备库，实际淡季下游加工疲软，外需相对旺盛，未锻造铝及铝材6月出口数据同比走增。</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弱，矿端现实供应偏紧预期边际宽松，国内电解铝产量供应高位，终端消费能力有限，下游企业开工淡季疲软，内需走弱外需偏强，铝价短期承压偏弱运行但价格下方仍有支撑，暂看19500-19800一线下方支撑位。</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5059"/>
      <w:r>
        <w:rPr>
          <w:rFonts w:hint="eastAsia" w:ascii="楷体" w:hAnsi="楷体" w:eastAsia="楷体"/>
          <w:b/>
          <w:color w:val="000000" w:themeColor="text1"/>
          <w:sz w:val="24"/>
          <w:szCs w:val="24"/>
          <w14:textFill>
            <w14:solidFill>
              <w14:schemeClr w14:val="tx1"/>
            </w14:solidFill>
          </w14:textFill>
        </w:rPr>
        <w:t>锌：锌价上下有限，维持震荡行情</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数据表现疲软，彰显全球经济衰退逻辑，市场情绪恐慌，宏观情绪承压偏弱运行。锌矿TC费率下降压缩炼厂利润，冶炼厂生产亏损影响精炼锌产量边际下行，供应预期走缩，进口盈亏窗口关闭外入补充有限，下游需求旺季不旺、淡季不淡，库存高位去库节奏缓慢。</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矿端原料供应偏紧限制生产，TC低位支撑价格，中游冶炼利润亏损有减产预期，进口补充有限，下游需求虽在淡季但下降幅度未有超预期，库存高位保持，锌价上下有限，维持23000-25000区间震荡。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9179"/>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：全球经济放缓背景下铜价承压运行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(1)库存：7月12日，SHFE仓单库存248480吨，日减1314吨；SHFE周库存316108吨，较上周五减5534吨；LME仓单库存206225吨，日减550吨。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(2)精废价差：7月12日，Mysteel精废价差1264，收窄395。目前价差在合理价差1488之下。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需求放缓对短中期铜价形成压制，短期继续关注宏观交易逻辑的变化，不排除仍会交易一段降息预期，对短期价格带来一定支撑，当前精铜供应维持偏宽松，但中期冶炼供应或仍面临较大挑战，限制价格下跌空间，波动区间参考7.7-8.1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8192"/>
      <w:r>
        <w:rPr>
          <w:rFonts w:hint="eastAsia" w:ascii="楷体" w:hAnsi="楷体" w:eastAsia="楷体"/>
          <w:b/>
          <w:color w:val="000000" w:themeColor="text1"/>
          <w:sz w:val="24"/>
          <w:szCs w:val="24"/>
          <w14:textFill>
            <w14:solidFill>
              <w14:schemeClr w14:val="tx1"/>
            </w14:solidFill>
          </w14:textFill>
        </w:rPr>
        <w:t>镍：基本面无明显驱动，或跟随宏观区间震荡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流通资源仍偏紧，因此印尼镍矿内贸升水维持高位。硫酸镍方面，三元材料厂家排产回温幅度有限，加上高库存有待消化，对硫酸镍需求仍疲弱，而亏损状态下硫酸镍厂家挺价情绪较强，预计硫酸镍价格弱稳为主。供应方面，由于精炼镍出口利润收窄，华友等厂家开始在国内放货，国内精炼镍现货资源偏紧问题缓解，现货价格走弱。需求方面则仍然无亮点可循。库存方面，国内社库维持去化，LME库存延续累库趋势。综合而言，镍过剩逻辑并未走完，中长期仍以逢高沽空思路为主，短期来看，镍基本面缺乏明显驱动，印尼镍矿现货偏紧形成产业链成本支撑，价格或跟随宏观情绪而波动，短期建议观望，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9177"/>
      <w:r>
        <w:rPr>
          <w:rFonts w:hint="eastAsia" w:ascii="楷体" w:hAnsi="楷体" w:eastAsia="楷体"/>
          <w:b/>
          <w:color w:val="000000" w:themeColor="text1"/>
          <w:sz w:val="24"/>
          <w:szCs w:val="24"/>
          <w14:textFill>
            <w14:solidFill>
              <w14:schemeClr w14:val="tx1"/>
            </w14:solidFill>
          </w14:textFill>
        </w:rPr>
        <w:t>不锈钢：强成本弱需求，价格震荡磨底</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下游需求走弱带来压力，同时菲律宾矿价持稳、印尼镍矿内贸升水居高不下也带来底部支撑，预计镍铁价格下调空间有限。铬铁方面，铬铁供应宽松，但铬矿成本高位，铬铁价格持稳为主。据Mysteel数据，目前外购高镍铁工艺冶炼304冷轧成本为13713元/吨。供应方面，为保持市场份额，7月以来，不锈钢厂减产力度有限，目前排产仍处于较高水平。需求方面，7月为传统淡季，下游成交不见起色，终端需求表现亦乏善可陈，宏观利好政策对需求改善作用仍待时间验证。库存方面，上周社库窄幅增加0.63%，仓单库存累至19.7万吨，持续处于历史高位。综合而言，不锈钢价格下方有印尼镍矿供应偏紧带来的成本支撑，继续下跌空间不大，而上方受需求疲弱和库存高位的压力，价格或呈现震荡磨底，主要运行区间为13600-14500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638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基本面维持宽松，盘面承压下行</w:t>
      </w:r>
      <w:bookmarkEnd w:id="25"/>
    </w:p>
    <w:p>
      <w:pPr>
        <w:ind w:left="630" w:leftChars="300"/>
        <w:rPr>
          <w:rFonts w:ascii="楷体" w:hAnsi="楷体" w:eastAsia="楷体"/>
          <w:sz w:val="24"/>
          <w:szCs w:val="24"/>
        </w:rPr>
      </w:pPr>
      <w:r>
        <w:rPr>
          <w:rFonts w:hint="eastAsia" w:ascii="楷体" w:hAnsi="楷体" w:eastAsia="楷体"/>
          <w:sz w:val="24"/>
          <w:szCs w:val="24"/>
        </w:rPr>
        <w:t>7月12日，Si2409主力合约延续下行走势，再破上市以来新低，收盘价10765元/吨，较上一收盘价涨跌幅-1.28%。由于前一轮盘面反弹较多工厂已提前锁定生产利润，尽管当前市场行情较为低迷，但主产区有停产计划的工厂偏少，以及需求也暂无出现明显改善迹象，供应宽松格局较难扭转，盘面或仍将承压运行，但也要留意三中全会召开，或加剧波动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5146"/>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925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5833"/>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3988"/>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终端需求疲弱，现货持续下行压力较大</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上周主力合约跌近5%至1473元/吨。现货方面，浮法玻璃河北沙河大板现货上周继续下跌至1392元/吨，保持疲弱。库存方面，玻璃在产企业总库存为6358万重量箱，累库持续。</w:t>
      </w:r>
    </w:p>
    <w:p>
      <w:pPr>
        <w:ind w:left="630" w:leftChars="300"/>
        <w:rPr>
          <w:rFonts w:hint="eastAsia" w:ascii="楷体" w:hAnsi="楷体" w:eastAsia="楷体"/>
          <w:sz w:val="24"/>
          <w:szCs w:val="24"/>
        </w:rPr>
      </w:pPr>
      <w:r>
        <w:rPr>
          <w:rFonts w:hint="eastAsia" w:ascii="楷体" w:hAnsi="楷体" w:eastAsia="楷体"/>
          <w:sz w:val="24"/>
          <w:szCs w:val="24"/>
        </w:rPr>
        <w:t>在低利润压力下，厂家逐步开始降低供应。但华北、华东、华中和西南市场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总体来看，目前市场情绪较弱，叠加地产数据打压期货盘面，前期政策利多因素消化后玻璃期货转为交易现实。下游需求不足且处于累库阶段，短期内预计期价弱震荡建议观望。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1824"/>
      <w:r>
        <w:rPr>
          <w:rFonts w:hint="eastAsia" w:ascii="Times New Roman" w:hAnsi="Times New Roman" w:eastAsia="楷体"/>
          <w:b/>
          <w:color w:val="000000" w:themeColor="text1"/>
          <w:sz w:val="24"/>
          <w:szCs w:val="24"/>
          <w14:textFill>
            <w14:solidFill>
              <w14:schemeClr w14:val="tx1"/>
            </w14:solidFill>
          </w14:textFill>
        </w:rPr>
        <w:t>纯碱：供应消息扰动告一段落期价大幅下行，未来或维持弱震荡</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盘面来看，上周纯碱主力合约2409大幅下跌，收于1967元/吨，大跌近9%。</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上周由于受远兴能源阿拉善生产线由于电力问题而出现意外减产的消息影响，纯碱价格短暂冲高，但需求疲弱导致好景不长，后期大部分涨幅被抹平并加速下跌。</w:t>
      </w:r>
    </w:p>
    <w:p>
      <w:pPr>
        <w:ind w:left="630" w:leftChars="300"/>
        <w:rPr>
          <w:rFonts w:hint="eastAsia" w:ascii="楷体" w:hAnsi="楷体" w:eastAsia="楷体"/>
          <w:sz w:val="24"/>
          <w:szCs w:val="24"/>
        </w:rPr>
      </w:pPr>
      <w:r>
        <w:rPr>
          <w:rFonts w:hint="eastAsia" w:ascii="楷体" w:hAnsi="楷体" w:eastAsia="楷体"/>
          <w:sz w:val="24"/>
          <w:szCs w:val="24"/>
        </w:rPr>
        <w:t>本周纯碱行业开工约86.26%，录得上升。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目前，前期受供应扰动超跌反弹后再次回归基本面，短期预计纯碱现货价格偏弱，后市仍需主要关注供应端变动情况。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3807"/>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hint="eastAsia" w:ascii="楷体" w:hAnsi="楷体" w:eastAsia="楷体"/>
          <w:b/>
        </w:rPr>
      </w:pPr>
      <w:bookmarkStart w:id="33" w:name="_Toc3181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期价加速下跌</w:t>
      </w:r>
      <w:bookmarkEnd w:id="33"/>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持续快速下跌的直接原因有二，一方面是外盘再创新低，带动进口成本继续下滑，另一方面是国内陈稻抛储传言再起，这有望增加市场供应。背后逻辑在于年度产需缺口迟迟未能体现，东北产区现货高价往华北产区和南方销区传导不畅而难以持续，市场担心再度出现类似于2019年现货崩盘的情况。我们对此持保留意见，因我们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基于这样的判断，近期期价加速下跌之后，近月合约已经贴水现货，前期现货滞涨容易带动盘面下跌/回落的逻辑已经转为现货抗跌容易带动盘面反弹/上涨。在这种情况下，维持谨慎看多观点，但建议投资者暂以观望为宜，静待风险释放。</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补跌带动淀粉-玉米价差出现较大幅度回落，但再度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30816"/>
      <w:r>
        <w:rPr>
          <w:rFonts w:hint="eastAsia" w:ascii="楷体" w:hAnsi="楷体" w:eastAsia="楷体"/>
          <w:b/>
          <w:bCs/>
          <w:color w:val="000000" w:themeColor="text1"/>
          <w14:textFill>
            <w14:solidFill>
              <w14:schemeClr w14:val="tx1"/>
            </w14:solidFill>
          </w14:textFill>
        </w:rPr>
        <w:t>畜禽养殖：期价近强远弱严重分化</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37"/>
      <w:r>
        <w:rPr>
          <w:rFonts w:hint="eastAsia" w:ascii="楷体" w:hAnsi="楷体" w:eastAsia="楷体"/>
          <w:b/>
          <w:bCs/>
          <w:color w:val="000000" w:themeColor="text1"/>
          <w14:textFill>
            <w14:solidFill>
              <w14:schemeClr w14:val="tx1"/>
            </w14:solidFill>
          </w14:textFill>
        </w:rPr>
        <w:t>白糖：区间波段式震荡整理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夜盘外盘纽约原糖主力合约和伦敦白砂糖主力合约分别下跌1.13%和1%，原糖失守20美分/磅关口。美国农业部周五公布的7月供需报告显示，因进口和产量增加，美国2024/25年度糖库存／使用比预估为13.5%,6月预估为11.5%。美国2023/24年度糖库存／使用比预估为15.6%,6月预估为13.6%。国内隔周夜盘白糖主力合约下跌0.28%。国内在传统旺季的刚需驱使下，终端采购积极性增强，去库存进程加快，库存压力减轻，期价存在一定支撑。内强外弱，预计白糖整体或形成区间波段走势，区间6100-6300，可考虑高抛低吸。</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5886"/>
      <w:r>
        <w:rPr>
          <w:rFonts w:hint="eastAsia" w:ascii="楷体" w:hAnsi="楷体" w:eastAsia="楷体"/>
          <w:b/>
          <w:bCs/>
          <w:color w:val="000000" w:themeColor="text1"/>
          <w14:textFill>
            <w14:solidFill>
              <w14:schemeClr w14:val="tx1"/>
            </w14:solidFill>
          </w14:textFill>
        </w:rPr>
        <w:t>棉花：预计郑棉温和震荡寻底</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隔周夜盘美棉上涨0.59%。美国农业部 USDA 发布的7月月度供需平衡表中将中国2024/25年度产量从587.9万吨提升至598.7万吨，美国产量从348.4万吨提升至370.1万吨，国际产量整体提升22.90万吨至2616.8万吨，2024/25年度国际消费量微5.60万吨至2551.6万吨；但由于其他地区的库存数据调整，2024/25年度的期末库存减少18.90万吨，变为1799万吨。尽管供需报告上调了美棉产量，但因市场早有预期，且国际期末库存降低，美棉延续温和反弹走势。国内淡季氛围依然浓厚，纱线价格尚未止跌。虽价格已处于历史相对低位，但尚缺乏明显利多驱动。该水平价格下预计拋储可能性较低，供需格局有望在8月旺季到来时改善。14500一线显出较强支撑，预计窄幅区间震荡磨底，等待企稳后的长线买入机会。</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8555"/>
      <w:r>
        <w:rPr>
          <w:rFonts w:hint="eastAsia" w:ascii="楷体" w:hAnsi="楷体" w:eastAsia="楷体"/>
          <w:b/>
          <w:bCs/>
          <w:color w:val="000000" w:themeColor="text1"/>
          <w14:textFill>
            <w14:solidFill>
              <w14:schemeClr w14:val="tx1"/>
            </w14:solidFill>
          </w14:textFill>
        </w:rPr>
        <w:t>蛋白粕：两粕下挫，再创新低</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粕下跌1.69%，盘中触及3132低位；菜粕下跌2.37%，盘中触及2427低位。USDA最新公布的豆粕供需数据并未有调整。国内而言，目前油厂油料供应充足，开机率都维持高位，进而豆粕、菜粕供应充足。而下游养殖场不愿累积库存，使粕类走货缓慢，给粕类价格带来一定压力。短期来看，压力不容易缓解，现货疲软将继续对盘面产生牵制，预计短期粕类近月压力仍然明显。长期来看，由于全球菜籽供应预计短缺，未来菜粕供应压力或有所减轻。但目前价格已处低位，谨慎看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8663"/>
      <w:r>
        <w:rPr>
          <w:rFonts w:hint="eastAsia" w:ascii="楷体" w:hAnsi="楷体" w:eastAsia="楷体"/>
          <w:b/>
          <w:bCs/>
          <w:color w:val="000000" w:themeColor="text1"/>
          <w14:textFill>
            <w14:solidFill>
              <w14:schemeClr w14:val="tx1"/>
            </w14:solidFill>
          </w14:textFill>
        </w:rPr>
        <w:t>油脂类：供强需弱使油类偏弱运行</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0.24%，菜籽油下跌0.36%，棕榈油下跌0.49%，上周五油脂价格短暂反弹后重回跌势。豆油方面，USDA公布最新供需预测，美豆下调产量不及预期，豆油期末库存下调0.5亿磅，基本面改善不大，期价偏弱运行。菜籽油方面，国内高结转库存叠加高进口量，菜籽库存高企，而菜油下游需求偏弱，供大于求的格局下跟随其他油类偏弱运行。棕榈油方面，马棕油出口表现良好，在油类价格均跌的情况下，较其他两个品种更为抗跌，预计震荡运行。</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8982"/>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29649"/>
      <w:r>
        <w:rPr>
          <w:rFonts w:hint="eastAsia" w:ascii="Times New Roman" w:hAnsi="Times New Roman" w:eastAsia="楷体"/>
          <w:b/>
          <w:color w:val="000000" w:themeColor="text1"/>
          <w:sz w:val="24"/>
          <w:szCs w:val="24"/>
          <w14:textFill>
            <w14:solidFill>
              <w14:schemeClr w14:val="tx1"/>
            </w14:solidFill>
          </w14:textFill>
        </w:rPr>
        <w:t>集运指数（欧线）：上周多头情绪冷却高位回落，最新订舱价格小幅上升</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现货方面，7月8日，上海港出口至欧洲基本港市场运价（SCFI欧线）为5051美元/TEU，较上期上涨4%，重回上涨。7月8日盘后公布，SCFIS欧线最新为5432.34点，环比上涨1.48%，涨幅放缓。</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船司们继续提价支撑近月合约：市场情绪受助于马士基开舱价格有所提振。马士基开放第30周欧线，上海至弗利克斯托大柜报价7900美金，较第29周开舱价格高出100美金。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消息面来看，上周最新一轮以哈冲突造成70人以上伤亡，或对远月后约有刺激作用。</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需求端来看，据标普全球发布的数据显示，主要国家德国和法国数据均出现下滑，显示出欧洲经济基础尚不牢固，未来经济复苏的进程可能要慢于预期。</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总体来看，各大船司最新报价有所分化，本周马士基继续上调运费，但SCFIS最新数据为5432.34点，因此本日主力合约短期有支撑。远月合约则受地缘局势反覆影响，建议投资者谨慎操作。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72481108"/>
      <w:bookmarkStart w:id="42" w:name="_Toc98426751"/>
      <w:bookmarkStart w:id="43" w:name="_Toc12779"/>
      <w:bookmarkStart w:id="44" w:name="_Toc19667"/>
      <w:bookmarkStart w:id="45" w:name="_Toc71212556"/>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2024年7月15日星期一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0700F42"/>
    <w:rsid w:val="51266B84"/>
    <w:rsid w:val="51642661"/>
    <w:rsid w:val="5191036A"/>
    <w:rsid w:val="52940E89"/>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2024-07-15T03:07:59Z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