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_Toc29200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_Toc7693 </w:instrText>
          </w:r>
          <w:r>
            <w:rPr>
              <w:bCs/>
            </w:rPr>
            <w:fldChar w:fldCharType="separate"/>
          </w:r>
          <w:r>
            <w:rPr>
              <w:rFonts w:hint="eastAsia" w:ascii="Times New Roman" w:hAnsi="Times New Roman" w:eastAsia="楷体"/>
              <w:szCs w:val="24"/>
            </w:rPr>
            <w:t>股指：美国降息预期升温，继续提振市场情绪</w:t>
          </w:r>
          <w:r>
            <w:rPr>
              <w:bCs/>
            </w:rPr>
            <w:fldChar w:fldCharType="end"/>
          </w:r>
        </w:p>
        <w:p>
          <w:pPr>
            <w:pStyle w:val="59"/>
            <w:tabs>
              <w:tab w:val="right" w:leader="dot" w:pos="8306"/>
            </w:tabs>
          </w:pPr>
          <w:r>
            <w:rPr>
              <w:bCs/>
            </w:rPr>
            <w:fldChar w:fldCharType="begin"/>
          </w:r>
          <w:r>
            <w:rPr>
              <w:bCs/>
            </w:rPr>
            <w:instrText xml:space="preserve"> HYPERLINK \l _Toc13814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_Toc3468 </w:instrText>
          </w:r>
          <w:r>
            <w:rPr>
              <w:bCs/>
            </w:rPr>
            <w:fldChar w:fldCharType="separate"/>
          </w:r>
          <w:r>
            <w:rPr>
              <w:rFonts w:hint="eastAsia" w:ascii="Times New Roman" w:hAnsi="Times New Roman" w:eastAsia="楷体"/>
              <w:szCs w:val="24"/>
            </w:rPr>
            <w:t>贵金属：美国通胀降温，贵金属价格上涨</w:t>
          </w:r>
          <w:r>
            <w:rPr>
              <w:bCs/>
            </w:rPr>
            <w:fldChar w:fldCharType="end"/>
          </w:r>
        </w:p>
        <w:p>
          <w:pPr>
            <w:pStyle w:val="59"/>
            <w:tabs>
              <w:tab w:val="right" w:leader="dot" w:pos="8306"/>
            </w:tabs>
          </w:pPr>
          <w:r>
            <w:rPr>
              <w:bCs/>
            </w:rPr>
            <w:fldChar w:fldCharType="begin"/>
          </w:r>
          <w:r>
            <w:rPr>
              <w:bCs/>
            </w:rPr>
            <w:instrText xml:space="preserve"> HYPERLINK \l _Toc4105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_Toc30530 </w:instrText>
          </w:r>
          <w:r>
            <w:rPr>
              <w:bCs/>
            </w:rPr>
            <w:fldChar w:fldCharType="separate"/>
          </w:r>
          <w:r>
            <w:rPr>
              <w:rFonts w:hint="eastAsia" w:ascii="楷体" w:hAnsi="楷体" w:eastAsia="楷体"/>
              <w:szCs w:val="24"/>
            </w:rPr>
            <w:t>碳酸锂：现货价格相对持稳，期价窄幅震荡</w:t>
          </w:r>
          <w:r>
            <w:rPr>
              <w:bCs/>
            </w:rPr>
            <w:fldChar w:fldCharType="end"/>
          </w:r>
        </w:p>
        <w:p>
          <w:pPr>
            <w:pStyle w:val="74"/>
            <w:tabs>
              <w:tab w:val="right" w:leader="dot" w:pos="8306"/>
            </w:tabs>
          </w:pPr>
          <w:r>
            <w:rPr>
              <w:bCs/>
            </w:rPr>
            <w:fldChar w:fldCharType="begin"/>
          </w:r>
          <w:r>
            <w:rPr>
              <w:bCs/>
            </w:rPr>
            <w:instrText xml:space="preserve"> HYPERLINK \l _Toc5687 </w:instrText>
          </w:r>
          <w:r>
            <w:rPr>
              <w:bCs/>
            </w:rPr>
            <w:fldChar w:fldCharType="separate"/>
          </w:r>
          <w:r>
            <w:rPr>
              <w:rFonts w:hint="eastAsia" w:ascii="楷体" w:hAnsi="楷体" w:eastAsia="楷体"/>
              <w:szCs w:val="24"/>
            </w:rPr>
            <w:t>铝：铝价偏弱震荡</w:t>
          </w:r>
          <w:r>
            <w:rPr>
              <w:bCs/>
            </w:rPr>
            <w:fldChar w:fldCharType="end"/>
          </w:r>
        </w:p>
        <w:p>
          <w:pPr>
            <w:pStyle w:val="74"/>
            <w:tabs>
              <w:tab w:val="right" w:leader="dot" w:pos="8306"/>
            </w:tabs>
          </w:pPr>
          <w:r>
            <w:rPr>
              <w:bCs/>
            </w:rPr>
            <w:fldChar w:fldCharType="begin"/>
          </w:r>
          <w:r>
            <w:rPr>
              <w:bCs/>
            </w:rPr>
            <w:instrText xml:space="preserve"> HYPERLINK \l _Toc6509 </w:instrText>
          </w:r>
          <w:r>
            <w:rPr>
              <w:bCs/>
            </w:rPr>
            <w:fldChar w:fldCharType="separate"/>
          </w:r>
          <w:r>
            <w:rPr>
              <w:rFonts w:hint="eastAsia" w:ascii="楷体" w:hAnsi="楷体" w:eastAsia="楷体"/>
              <w:szCs w:val="24"/>
            </w:rPr>
            <w:t>锌：驱动有限，锌价保持区间震荡</w:t>
          </w:r>
          <w:r>
            <w:rPr>
              <w:bCs/>
            </w:rPr>
            <w:fldChar w:fldCharType="end"/>
          </w:r>
        </w:p>
        <w:p>
          <w:pPr>
            <w:pStyle w:val="74"/>
            <w:tabs>
              <w:tab w:val="right" w:leader="dot" w:pos="8306"/>
            </w:tabs>
          </w:pPr>
          <w:r>
            <w:rPr>
              <w:bCs/>
            </w:rPr>
            <w:fldChar w:fldCharType="begin"/>
          </w:r>
          <w:r>
            <w:rPr>
              <w:bCs/>
            </w:rPr>
            <w:instrText xml:space="preserve"> HYPERLINK \l _Toc5566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：全球经济放缓背景下铜价承压运行</w:t>
          </w:r>
          <w:r>
            <w:rPr>
              <w:bCs/>
            </w:rPr>
            <w:fldChar w:fldCharType="end"/>
          </w:r>
        </w:p>
        <w:p>
          <w:pPr>
            <w:pStyle w:val="74"/>
            <w:tabs>
              <w:tab w:val="right" w:leader="dot" w:pos="8306"/>
            </w:tabs>
          </w:pPr>
          <w:r>
            <w:rPr>
              <w:bCs/>
            </w:rPr>
            <w:fldChar w:fldCharType="begin"/>
          </w:r>
          <w:r>
            <w:rPr>
              <w:bCs/>
            </w:rPr>
            <w:instrText xml:space="preserve"> HYPERLINK \l _Toc23644 </w:instrText>
          </w:r>
          <w:r>
            <w:rPr>
              <w:bCs/>
            </w:rPr>
            <w:fldChar w:fldCharType="separate"/>
          </w:r>
          <w:r>
            <w:rPr>
              <w:rFonts w:hint="eastAsia" w:ascii="楷体" w:hAnsi="楷体" w:eastAsia="楷体"/>
              <w:szCs w:val="24"/>
            </w:rPr>
            <w:t>镍：印尼镍矿供应偏紧支撑下，镍价深跌动能不足</w:t>
          </w:r>
          <w:r>
            <w:rPr>
              <w:bCs/>
            </w:rPr>
            <w:fldChar w:fldCharType="end"/>
          </w:r>
        </w:p>
        <w:p>
          <w:pPr>
            <w:pStyle w:val="74"/>
            <w:tabs>
              <w:tab w:val="right" w:leader="dot" w:pos="8306"/>
            </w:tabs>
          </w:pPr>
          <w:r>
            <w:rPr>
              <w:bCs/>
            </w:rPr>
            <w:fldChar w:fldCharType="begin"/>
          </w:r>
          <w:r>
            <w:rPr>
              <w:bCs/>
            </w:rPr>
            <w:instrText xml:space="preserve"> HYPERLINK \l _Toc11645 </w:instrText>
          </w:r>
          <w:r>
            <w:rPr>
              <w:bCs/>
            </w:rPr>
            <w:fldChar w:fldCharType="separate"/>
          </w:r>
          <w:r>
            <w:rPr>
              <w:rFonts w:hint="eastAsia" w:ascii="楷体" w:hAnsi="楷体" w:eastAsia="楷体"/>
              <w:szCs w:val="24"/>
            </w:rPr>
            <w:t>不锈钢：弱需求及高库存，压制价格</w:t>
          </w:r>
          <w:r>
            <w:rPr>
              <w:bCs/>
            </w:rPr>
            <w:fldChar w:fldCharType="end"/>
          </w:r>
        </w:p>
        <w:p>
          <w:pPr>
            <w:pStyle w:val="74"/>
            <w:tabs>
              <w:tab w:val="right" w:leader="dot" w:pos="8306"/>
            </w:tabs>
          </w:pPr>
          <w:r>
            <w:rPr>
              <w:bCs/>
            </w:rPr>
            <w:fldChar w:fldCharType="begin"/>
          </w:r>
          <w:r>
            <w:rPr>
              <w:bCs/>
            </w:rPr>
            <w:instrText xml:space="preserve"> HYPERLINK \l _Toc1054 </w:instrText>
          </w:r>
          <w:r>
            <w:rPr>
              <w:bCs/>
            </w:rPr>
            <w:fldChar w:fldCharType="separate"/>
          </w:r>
          <w:r>
            <w:rPr>
              <w:rFonts w:hint="eastAsia" w:ascii="楷体" w:hAnsi="楷体" w:eastAsia="楷体"/>
              <w:szCs w:val="24"/>
            </w:rPr>
            <w:t>工业硅：基本面延续供增需弱，盘面承压下行</w:t>
          </w:r>
          <w:r>
            <w:rPr>
              <w:bCs/>
            </w:rPr>
            <w:fldChar w:fldCharType="end"/>
          </w:r>
        </w:p>
        <w:p>
          <w:pPr>
            <w:pStyle w:val="59"/>
            <w:tabs>
              <w:tab w:val="right" w:leader="dot" w:pos="8306"/>
            </w:tabs>
          </w:pPr>
          <w:r>
            <w:rPr>
              <w:bCs/>
            </w:rPr>
            <w:fldChar w:fldCharType="begin"/>
          </w:r>
          <w:r>
            <w:rPr>
              <w:bCs/>
            </w:rPr>
            <w:instrText xml:space="preserve"> HYPERLINK \l _Toc14175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_Toc30876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 橡胶下方空间有限</w:t>
          </w:r>
          <w:r>
            <w:rPr>
              <w:bCs/>
            </w:rPr>
            <w:fldChar w:fldCharType="end"/>
          </w:r>
        </w:p>
        <w:p>
          <w:pPr>
            <w:pStyle w:val="74"/>
            <w:tabs>
              <w:tab w:val="right" w:leader="dot" w:pos="8306"/>
            </w:tabs>
          </w:pPr>
          <w:r>
            <w:rPr>
              <w:bCs/>
            </w:rPr>
            <w:fldChar w:fldCharType="begin"/>
          </w:r>
          <w:r>
            <w:rPr>
              <w:bCs/>
            </w:rPr>
            <w:instrText xml:space="preserve"> HYPERLINK \l _Toc25238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_Toc8072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终端需求疲弱下行压力较大，夜盘维持弱震荡</w:t>
          </w:r>
          <w:r>
            <w:rPr>
              <w:bCs/>
            </w:rPr>
            <w:fldChar w:fldCharType="end"/>
          </w:r>
        </w:p>
        <w:p>
          <w:pPr>
            <w:pStyle w:val="74"/>
            <w:tabs>
              <w:tab w:val="right" w:leader="dot" w:pos="8306"/>
            </w:tabs>
          </w:pPr>
          <w:r>
            <w:rPr>
              <w:bCs/>
            </w:rPr>
            <w:fldChar w:fldCharType="begin"/>
          </w:r>
          <w:r>
            <w:rPr>
              <w:bCs/>
            </w:rPr>
            <w:instrText xml:space="preserve"> HYPERLINK \l _Toc11332 </w:instrText>
          </w:r>
          <w:r>
            <w:rPr>
              <w:bCs/>
            </w:rPr>
            <w:fldChar w:fldCharType="separate"/>
          </w:r>
          <w:r>
            <w:rPr>
              <w:rFonts w:hint="eastAsia" w:ascii="Times New Roman" w:hAnsi="Times New Roman" w:eastAsia="楷体"/>
              <w:szCs w:val="24"/>
            </w:rPr>
            <w:t>纯碱：供应消息扰动告一段落，期价维持窄幅弱震荡</w:t>
          </w:r>
          <w:r>
            <w:rPr>
              <w:bCs/>
            </w:rPr>
            <w:fldChar w:fldCharType="end"/>
          </w:r>
        </w:p>
        <w:p>
          <w:pPr>
            <w:pStyle w:val="59"/>
            <w:tabs>
              <w:tab w:val="right" w:leader="dot" w:pos="8306"/>
            </w:tabs>
          </w:pPr>
          <w:r>
            <w:rPr>
              <w:bCs/>
            </w:rPr>
            <w:fldChar w:fldCharType="begin"/>
          </w:r>
          <w:r>
            <w:rPr>
              <w:bCs/>
            </w:rPr>
            <w:instrText xml:space="preserve"> HYPERLINK \l _Toc24266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_Toc4793 </w:instrText>
          </w:r>
          <w:r>
            <w:rPr>
              <w:bCs/>
            </w:rPr>
            <w:fldChar w:fldCharType="separate"/>
          </w:r>
          <w:r>
            <w:rPr>
              <w:rFonts w:hint="eastAsia" w:ascii="楷体" w:hAnsi="楷体" w:eastAsia="楷体"/>
              <w:bCs/>
            </w:rPr>
            <w:t>玉米与淀粉：</w:t>
          </w:r>
          <w:r>
            <w:rPr>
              <w:rFonts w:hint="eastAsia" w:ascii="楷体" w:hAnsi="楷体" w:eastAsia="楷体"/>
            </w:rPr>
            <w:t>期价夜盘反弹</w:t>
          </w:r>
          <w:r>
            <w:rPr>
              <w:bCs/>
            </w:rPr>
            <w:fldChar w:fldCharType="end"/>
          </w:r>
        </w:p>
        <w:p>
          <w:pPr>
            <w:pStyle w:val="74"/>
            <w:tabs>
              <w:tab w:val="right" w:leader="dot" w:pos="8306"/>
            </w:tabs>
          </w:pPr>
          <w:r>
            <w:rPr>
              <w:bCs/>
            </w:rPr>
            <w:fldChar w:fldCharType="begin"/>
          </w:r>
          <w:r>
            <w:rPr>
              <w:bCs/>
            </w:rPr>
            <w:instrText xml:space="preserve"> HYPERLINK \l _Toc21331 </w:instrText>
          </w:r>
          <w:r>
            <w:rPr>
              <w:bCs/>
            </w:rPr>
            <w:fldChar w:fldCharType="separate"/>
          </w:r>
          <w:r>
            <w:rPr>
              <w:rFonts w:hint="eastAsia" w:ascii="楷体" w:hAnsi="楷体" w:eastAsia="楷体"/>
              <w:bCs/>
            </w:rPr>
            <w:t>畜禽养殖：鸡蛋期现背离</w:t>
          </w:r>
          <w:r>
            <w:rPr>
              <w:bCs/>
            </w:rPr>
            <w:fldChar w:fldCharType="end"/>
          </w:r>
        </w:p>
        <w:p>
          <w:pPr>
            <w:pStyle w:val="74"/>
            <w:tabs>
              <w:tab w:val="right" w:leader="dot" w:pos="8306"/>
            </w:tabs>
          </w:pPr>
          <w:r>
            <w:rPr>
              <w:bCs/>
            </w:rPr>
            <w:fldChar w:fldCharType="begin"/>
          </w:r>
          <w:r>
            <w:rPr>
              <w:bCs/>
            </w:rPr>
            <w:instrText xml:space="preserve"> HYPERLINK \l _Toc32640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_Toc26490 </w:instrText>
          </w:r>
          <w:r>
            <w:rPr>
              <w:bCs/>
            </w:rPr>
            <w:fldChar w:fldCharType="separate"/>
          </w:r>
          <w:r>
            <w:rPr>
              <w:rFonts w:hint="eastAsia" w:ascii="楷体" w:hAnsi="楷体" w:eastAsia="楷体"/>
              <w:bCs/>
            </w:rPr>
            <w:t>棉花：初步寻得支撑，郑棉温和震荡，等待USDA报告</w:t>
          </w:r>
          <w:r>
            <w:rPr>
              <w:bCs/>
            </w:rPr>
            <w:fldChar w:fldCharType="end"/>
          </w:r>
        </w:p>
        <w:p>
          <w:pPr>
            <w:pStyle w:val="59"/>
            <w:tabs>
              <w:tab w:val="right" w:leader="dot" w:pos="8306"/>
            </w:tabs>
          </w:pPr>
          <w:r>
            <w:rPr>
              <w:bCs/>
            </w:rPr>
            <w:fldChar w:fldCharType="begin"/>
          </w:r>
          <w:r>
            <w:rPr>
              <w:bCs/>
            </w:rPr>
            <w:instrText xml:space="preserve"> HYPERLINK \l _Toc1725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_Toc3407 </w:instrText>
          </w:r>
          <w:r>
            <w:rPr>
              <w:bCs/>
            </w:rPr>
            <w:fldChar w:fldCharType="separate"/>
          </w:r>
          <w:r>
            <w:rPr>
              <w:rFonts w:hint="eastAsia" w:ascii="Times New Roman" w:hAnsi="Times New Roman" w:eastAsia="楷体"/>
              <w:szCs w:val="24"/>
            </w:rPr>
            <w:t>集运指数（欧线）：现货上涨乏力地缘现缓和迹象，多头情绪冷却EC集体下行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920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769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美国降息预期升温，继续提振市场情绪</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6月CPI超预期回落，同比增3.0%，低于预期值3.1%和前值3.3%，环比降0.1%，低于预期升0.1%。加上前日鲍威尔在国会发言鸽派发言表示不需要等到通胀降至2%就可以开始降息。让市场对提早降息更加期待，目前利率期货显示市场预计9月将迎来第一次降息，年内可能会降2-3次。消息一出，人民币汇率大涨超300个点，此外富时A50、纳斯达克金龙指数等应声大涨。美国降息预期上升一定程度上缓解汇率压力，增大宏观政策想象空间，同时降低外资流出的动力。接连几日利好消息，对短线情绪或将有明显提振作用。</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381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468"/>
      <w:r>
        <w:rPr>
          <w:rFonts w:hint="eastAsia" w:ascii="Times New Roman" w:hAnsi="Times New Roman" w:eastAsia="楷体"/>
          <w:b/>
          <w:color w:val="000000" w:themeColor="text1"/>
          <w:sz w:val="24"/>
          <w:szCs w:val="24"/>
          <w14:textFill>
            <w14:solidFill>
              <w14:schemeClr w14:val="tx1"/>
            </w14:solidFill>
          </w14:textFill>
        </w:rPr>
        <w:t>贵金属：美国通胀降温，贵金属价格上涨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0.98%至570.30元/克，沪银涨1.13%至8238元/千克。美国6月CPI同比增3%，为2023年6月以来新低，预期增3.1%，前值增3.3%；环比降0.1%，预期增0.1%，前值持平。6月核心CPI同比增3.3%，低于预期的增3.4%和前值的增3.4%，为2021年4月以来新低；核心CPI环比增0.1%，预期和前值增0.2%。美国6月通胀全面降温，强化了对于美联储能够提前启动降息的预期，留意周五晚间美国PPI通胀数据，贵金属中长线维持偏多思路。</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410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053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碳酸锂：现货价格相对持稳，期价窄幅震荡</w:t>
      </w:r>
      <w:bookmarkEnd w:id="15"/>
    </w:p>
    <w:bookmarkEnd w:id="16"/>
    <w:bookmarkEnd w:id="17"/>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现货价格相对持稳，期价略微低开后窄幅震荡，11合约跌0.64%至92500元/吨。上周数据显示，智利6月碳酸锂出口总量约为</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20948吨，环比减少6.7%；其中，出口至中国的碳酸锂约为17400吨，环比减少3.5%，仍对供应形成较大补充。盐湖提锂开工较高，锂辉石提锂产线生产维持稳定，预计7月部分锂云母提锂及回收企业因成本因素存在减产预期。上游锂盐厂商维持挺价情绪，现货交投寡淡，期价或维持偏弱震荡，参考区间85000-98000元/吨，关注前低附近支撑。</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568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铝价偏弱震荡</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6月CPI数据表现低于预期，美国经济衰退逻辑确认，宏观情绪承压。上游矿端供应紧缺限制氧化铝生产，氧化铝价格下跌带动电解铝成本支撑下行，铝棒维持去库趋势，铝锭库存去库周期反向走增，主因电解铝产能持续走增供应增量持续投放，进口亏损导致外入补充受限，内需淡季偏弱，外需表现偏强，未锻造铝及铝材出口量走增。成本端仍有支撑，铝锭淡季去库周期持续累库，需求内弱外强，价格上下有限，保持区间偏弱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6509"/>
      <w:r>
        <w:rPr>
          <w:rFonts w:hint="eastAsia" w:ascii="楷体" w:hAnsi="楷体" w:eastAsia="楷体"/>
          <w:b/>
          <w:color w:val="000000" w:themeColor="text1"/>
          <w:sz w:val="24"/>
          <w:szCs w:val="24"/>
          <w14:textFill>
            <w14:solidFill>
              <w14:schemeClr w14:val="tx1"/>
            </w14:solidFill>
          </w14:textFill>
        </w:rPr>
        <w:t>锌：驱动有限，锌价保持区间震荡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6月CPI数据表现疲软，海外经济衰退尽显，联储官员对降息态度依旧谨慎，宏观情绪承压运行。锌矿TC加工费保持低位，矿端利润丰厚，冶炼端持续亏损，中游炼厂有超预期减产可能，进口盈利窗口持续关闭，外入补充相对有限，前期旺季需求消费偏淡，淡季需求消费边际修复，交易所库存及社会库存高位小幅去库，库存去化节奏较缓。矿端成本高企支撑锌价，中游生产利润亏损导致厂家主动减产，下游淡季需求边际修复，库存高位去化节奏缓慢，短期锌价驱动有限，保持23000-25000区间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556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：全球经济放缓背景下铜价承压运行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(1)宏观：数据显示，美国6月未季调CPI年率录得3.0%，低于市场预期的3.1%，回落至去年6月以来最低水平；季调后CPI月率为-0.1%，2020年5月以来首次录得负值。</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(2)库存：7月11日，SHFE仓单库存249794吨，增1176吨；LME仓单库存206775吨，增11300吨。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(3)精废价差：7月11日，Mysteel精废价差1659，扩张100。目前价差在合理价差1496之上。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6月通胀数据超预期回落，降息预期进一步提升，美元指数大幅下挫，人民币汇率拉涨，整体有色表现相对弱势，近期全球需求端放缓对铜价表现不利，宏观交易逻辑有所转向。基本面，当前铜矿仍处于偏紧态势，TC现货偏稳运行于0美金附近，后期冶炼供应或仍将面临较大考验，持续关注电解铜产量变化，废铜及阳极铜的补充也是关键。当前价格反弹后需求再次受到抑制， 库存在短暂去化后再次转升，预计价格仍将承压运行。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3644"/>
      <w:r>
        <w:rPr>
          <w:rFonts w:hint="eastAsia" w:ascii="楷体" w:hAnsi="楷体" w:eastAsia="楷体"/>
          <w:b/>
          <w:color w:val="000000" w:themeColor="text1"/>
          <w:sz w:val="24"/>
          <w:szCs w:val="24"/>
          <w14:textFill>
            <w14:solidFill>
              <w14:schemeClr w14:val="tx1"/>
            </w14:solidFill>
          </w14:textFill>
        </w:rPr>
        <w:t>镍：</w:t>
      </w:r>
      <w:bookmarkEnd w:id="23"/>
      <w:r>
        <w:rPr>
          <w:rFonts w:hint="eastAsia" w:ascii="楷体" w:hAnsi="楷体" w:eastAsia="楷体"/>
          <w:b/>
          <w:color w:val="000000" w:themeColor="text1"/>
          <w:sz w:val="24"/>
          <w:szCs w:val="24"/>
          <w14:textFill>
            <w14:solidFill>
              <w14:schemeClr w14:val="tx1"/>
            </w14:solidFill>
          </w14:textFill>
        </w:rPr>
        <w:t>印尼镍矿供应偏紧，为镍价形成底部支撑</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6月CPI数据低于预期，美联储降息预期升温，提振宏观情绪。镍矿方面，由于行政时滞、印尼下雨天气，目前印尼镍矿流通资源仍有限，为镍产业链形成底部支撑。供应方面，由于精炼镍出口利润边际收窄，华友、格林美等厂家开始在国内放货，国内精炼镍现货资源偏紧问题边际缓解，现货升水下跌。需求方面则仍无亮点可循。库存方面，全球镍库存维持趋势性累库。综合而言，虽镍基本面偏弱，但美国6月CPI数据支撑美联储降息预期，印尼镍矿现货偏紧带来底部支撑，预计短期镍价震荡为主</w:t>
      </w:r>
      <w:bookmarkStart w:id="44" w:name="_GoBack"/>
      <w:bookmarkEnd w:id="44"/>
      <w:r>
        <w:rPr>
          <w:rFonts w:hint="eastAsia" w:ascii="楷体" w:hAnsi="楷体" w:eastAsia="楷体"/>
          <w:color w:val="000000" w:themeColor="text1"/>
          <w:sz w:val="24"/>
          <w:szCs w:val="24"/>
          <w14:textFill>
            <w14:solidFill>
              <w14:schemeClr w14:val="tx1"/>
            </w14:solidFill>
          </w14:textFill>
        </w:rPr>
        <w:t>。</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1645"/>
      <w:r>
        <w:rPr>
          <w:rFonts w:hint="eastAsia" w:ascii="楷体" w:hAnsi="楷体" w:eastAsia="楷体"/>
          <w:b/>
          <w:color w:val="000000" w:themeColor="text1"/>
          <w:sz w:val="24"/>
          <w:szCs w:val="24"/>
          <w14:textFill>
            <w14:solidFill>
              <w14:schemeClr w14:val="tx1"/>
            </w14:solidFill>
          </w14:textFill>
        </w:rPr>
        <w:t>不锈钢：弱需求及高库存，压制价格</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6月CPI数据低于预期，美联储降息预期升温。镍矿方面，印尼镍矿RKAB审批已通过2.21亿湿吨，但由于行政时滞、印尼下雨天气，目前印尼镍矿流通资源仍有限。镍铁方面，由于印尼镍矿在现货紧张情况下内贸升水持续上涨，镍铁价格具有底部支撑。供应方面，据Mysteel预计，7月国内不锈钢厂粗钢减产约9.6万吨，整体产量仍处于高位。需求方面，下游整体成交仍以刚需采购为主，终端需求表现亦乏善可陈。库存方面，7月11日，全国主流市场不锈钢89仓库口径社会总库存1087682吨，周环比增0.63%，仓单库存累至19.8万吨，持续刷新历史高位。综合而言，印尼镍矿现货偏紧，不锈钢成本支撑坚挺，不锈钢价格底部空间较清晰，但需求不振和库存高位对价格带来压制，短期价格或在13600-14500元/吨区间偏震荡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05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基本面延续供增需弱，盘面承压下行</w:t>
      </w:r>
      <w:bookmarkEnd w:id="25"/>
    </w:p>
    <w:p>
      <w:pPr>
        <w:ind w:left="630" w:leftChars="300"/>
        <w:rPr>
          <w:rFonts w:ascii="楷体" w:hAnsi="楷体" w:eastAsia="楷体"/>
          <w:sz w:val="24"/>
          <w:szCs w:val="24"/>
        </w:rPr>
      </w:pPr>
      <w:r>
        <w:rPr>
          <w:rFonts w:hint="eastAsia" w:ascii="楷体" w:hAnsi="楷体" w:eastAsia="楷体"/>
          <w:sz w:val="24"/>
          <w:szCs w:val="24"/>
        </w:rPr>
        <w:t>7月11日，Si2409主力合约呈下行走势，收盘价10905元/吨，较上一收盘价涨跌幅-1.85%。据调研了解，近期盘面出现较为明显下跌，部分期现商有所出货，下游整体多以刚需补库，暂未出现明显放量采购。目前，基本面延续供增需弱，宽松格局较难扭转，盘面或仍将承压运行，但也要留意三中全会下周即将召开，宏观影响因素或加剧波动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4175"/>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3087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5238"/>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8072"/>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终端需求疲弱下行压力较大，夜盘维持弱震荡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昨晚夜盘玻璃主力合约2409收于1466元/吨，窄幅震荡。现货方面，浮法玻璃河北沙河大板现货上周下跌近100元/吨至1404元/吨，保持疲弱。库存方面，玻璃在产企业总库存为6248万重量箱，环比上周上升89万重量箱。</w:t>
      </w:r>
    </w:p>
    <w:p>
      <w:pPr>
        <w:ind w:left="630" w:leftChars="300"/>
        <w:rPr>
          <w:rFonts w:hint="eastAsia" w:ascii="楷体" w:hAnsi="楷体" w:eastAsia="楷体"/>
          <w:sz w:val="24"/>
          <w:szCs w:val="24"/>
        </w:rPr>
      </w:pPr>
      <w:r>
        <w:rPr>
          <w:rFonts w:hint="eastAsia" w:ascii="楷体" w:hAnsi="楷体" w:eastAsia="楷体"/>
          <w:sz w:val="24"/>
          <w:szCs w:val="24"/>
        </w:rPr>
        <w:t>在低利润压力下，厂家逐步开始降低供应。但华北、华东、华中和西南市场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总体来看，前期受上游影响小幅反弹后再次回落。市场情绪转弱，叠加地产数据打压期货盘面，前期政策利多因素消化后玻璃期货转为交易现实。下游需求不足且处于累库阶段，短期内预计期价弱震荡建议观望。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11332"/>
      <w:r>
        <w:rPr>
          <w:rFonts w:hint="eastAsia" w:ascii="Times New Roman" w:hAnsi="Times New Roman" w:eastAsia="楷体"/>
          <w:b/>
          <w:color w:val="000000" w:themeColor="text1"/>
          <w:sz w:val="24"/>
          <w:szCs w:val="24"/>
          <w14:textFill>
            <w14:solidFill>
              <w14:schemeClr w14:val="tx1"/>
            </w14:solidFill>
          </w14:textFill>
        </w:rPr>
        <w:t>纯碱：供应消息扰动告一段落，期价维持窄幅弱震荡</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盘面来看，昨日夜盘纯碱主力合约2409维持窄幅震荡，收于1952元/吨变动不大。</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上周，据消息称由于受暴雨影响，远兴能源阿拉善生产线由于电力问题而出现意外减产，预计减产维持为1周左右，纯碱价格短暂冲高，但需求疲弱导致好景不长，后期大部分涨幅被抹平。</w:t>
      </w:r>
    </w:p>
    <w:p>
      <w:pPr>
        <w:ind w:left="630" w:leftChars="300"/>
        <w:rPr>
          <w:rFonts w:hint="eastAsia" w:ascii="楷体" w:hAnsi="楷体" w:eastAsia="楷体"/>
          <w:sz w:val="24"/>
          <w:szCs w:val="24"/>
        </w:rPr>
      </w:pPr>
      <w:r>
        <w:rPr>
          <w:rFonts w:hint="eastAsia" w:ascii="楷体" w:hAnsi="楷体" w:eastAsia="楷体"/>
          <w:sz w:val="24"/>
          <w:szCs w:val="24"/>
        </w:rPr>
        <w:t>本周纯碱行业开工约84.97%，环比下跌3.89%。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目前，前期受供应扰动超跌反弹后再次回归基本面，短期预计纯碱现货价格偏弱，后市仍需主要关注供应端变动情况。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4266"/>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hint="eastAsia" w:ascii="楷体" w:hAnsi="楷体" w:eastAsia="楷体"/>
          <w:b/>
        </w:rPr>
      </w:pPr>
      <w:bookmarkStart w:id="33" w:name="_Toc479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期价夜盘反弹</w:t>
      </w:r>
      <w:bookmarkEnd w:id="33"/>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持续回落调整，主要源于市场对东北产区高价往下游传导的担忧，其背后是国内玉米产需缺口迟迟未能体现，因华北产区和南方销区对东北产区和北方港口依然严重倒挂，这种情况的延续使得市场进而担心出现类似于2019年三季度现货崩盘的可能性，再加上考虑到当前期价更贴近北方港口甚至东北产区现货价格，仍需要现货特别是华北产区和南方销区上涨来实现正向反馈。在这种情况下，虽然我们基于供需平衡表的预估，仍倾向于国内玉米产需缺口将逐步显现，故维持谨慎看多观点，但考虑到陈稻抛储传言和外盘弱势带动内外价差扩大，国内玉米期价弱势超过预期，建议投资者暂以观望为宜，静待风险释放。</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大因素中，行业供需与副产品相对利多，前者主要源于下游行业季节性需求旺季有望带动行业供需阶段性改善，后者则主要源于外盘美豆弱势有望通过国内蛋白粕带动国内副产品价格维持低位，但原料端短期相对利空，即近期华北玉米深加工收购价弱势，华北-东北玉米价差继续历史同期低位。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21331"/>
      <w:r>
        <w:rPr>
          <w:rFonts w:hint="eastAsia" w:ascii="楷体" w:hAnsi="楷体" w:eastAsia="楷体"/>
          <w:b/>
          <w:bCs/>
          <w:color w:val="000000" w:themeColor="text1"/>
          <w14:textFill>
            <w14:solidFill>
              <w14:schemeClr w14:val="tx1"/>
            </w14:solidFill>
          </w14:textFill>
        </w:rPr>
        <w:t>畜禽养殖：鸡蛋期现背离</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这样的供需格局认知下，市场利多因素在于渠道库存偏低，因前期市场普遍认为供需过剩而存在看跌心理。而参考季节性规律来看，端午节后低点或已经出现，接下来有望进入季节性上涨阶段，我们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32640"/>
      <w:r>
        <w:rPr>
          <w:rFonts w:hint="eastAsia" w:ascii="楷体" w:hAnsi="楷体" w:eastAsia="楷体"/>
          <w:b/>
          <w:bCs/>
          <w:color w:val="000000" w:themeColor="text1"/>
          <w14:textFill>
            <w14:solidFill>
              <w14:schemeClr w14:val="tx1"/>
            </w14:solidFill>
          </w14:textFill>
        </w:rPr>
        <w:t>白糖：区间波段式震荡整理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巴西增产，隔夜外盘纽约原糖主力合约和伦敦白砂糖主力合约分别下跌1.82%和0.71%。据外电7月11日消息，巴西甘蔗行业协会 Unica 周四发布的数据显示，6月下半月，巴西糖产量同比增加20%，至325万吨，因晴好天气有助于收割进行，同时甘蔗品质有所提升。数据显示，巴西中南部地区6月下半月的甘蔗压榨量增加13%，达到4,880万吨，同期乙醇总产量上升18.5%，达到23亿升。国内夜盘白糖主力合约下跌0.24%。国内在传统旺季的刚需驱使下，终端采购积极性增强，去库存进程加快，库存压力减轻，期价存在一定支撑。预计白糖整体或形成区间波段走势，区间6100-6300，可考虑高抛低吸。</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26490"/>
      <w:r>
        <w:rPr>
          <w:rFonts w:hint="eastAsia" w:ascii="楷体" w:hAnsi="楷体" w:eastAsia="楷体"/>
          <w:b/>
          <w:bCs/>
          <w:color w:val="000000" w:themeColor="text1"/>
          <w14:textFill>
            <w14:solidFill>
              <w14:schemeClr w14:val="tx1"/>
            </w14:solidFill>
          </w14:textFill>
        </w:rPr>
        <w:t>棉花：初步寻得支撑，郑棉温和震荡，等待USDA报告</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隔夜美棉微跌0.14%。据外电7月11日消息，巴西国家商品供应公司（ CONAB ）周四在一份报告中称，巴西2023/24年度棉花产量预估为363.6万吨，低于此前预估的365.7万吨，但高于上一市场年度的317.3万吨。国内淡季氛围依然浓厚，纱线价格尚未止跌。虽价格已处于历史相对低位，但尚缺乏明显利多驱动。该水平价格下预计拋储可能性较低，供需格局有望在8月旺季到来时改善。14500一线显出较强支撑，预计窄幅区间震荡磨底，等待企稳后的长线买入机会。</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725"/>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3407"/>
      <w:r>
        <w:rPr>
          <w:rFonts w:hint="eastAsia" w:ascii="Times New Roman" w:hAnsi="Times New Roman" w:eastAsia="楷体"/>
          <w:b/>
          <w:color w:val="000000" w:themeColor="text1"/>
          <w:sz w:val="24"/>
          <w:szCs w:val="24"/>
          <w14:textFill>
            <w14:solidFill>
              <w14:schemeClr w14:val="tx1"/>
            </w14:solidFill>
          </w14:textFill>
        </w:rPr>
        <w:t>集运指数（欧线）：现货上涨乏力地缘现缓和迹象，多头情绪冷却EC集体下行</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现货方面，7月5日，上海港出口至欧洲基本港市场运价（SCFI欧线）为4857美元/TEU，较上期回落0.5%，迎来回落。7月8日盘后公布，SCFIS欧线最新为5432.34点，环比上涨1.48%，涨幅放缓。</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另外，船司们继续提价支撑近月合约：市场情绪受助于马士基开舱价格有所提振。马士基开放第30周欧线，上海至弗利克斯托大柜报价7900美金，较第29周开舱价格高出100美金。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消息面来看，哈马斯官员7日重申，愿意为达成加沙地带停火协议而让步，在以色列不承诺“永久”停火的情况下执行第一阶段停火并继续谈判。这一消息提振了市场对于加沙地带紧张局势有望缓和的预期。</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标普全球发布的数据显示，欧元区6月综合PMI初值50.8，低于前值及市场预期，创3个月新低。其中，主要国家德国和法国数据均出现下滑，显示出欧洲经济基础尚不牢固，未来经济复苏的进程可能要慢于预期。</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总体来看，各大船司最新报价有所分化，本周马士基继续上调运费，但SCFIS最新数据为5432.34点，因此本日主力合约下跌大幅度修复基差。远月合约则受地缘局势缓和受压，高位回落，建议投资者谨慎操作。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12779"/>
      <w:bookmarkStart w:id="41" w:name="_Toc72481108"/>
      <w:bookmarkStart w:id="42" w:name="_Toc98426751"/>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2024年7月12日星期五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0700F42"/>
    <w:rsid w:val="51266B84"/>
    <w:rsid w:val="51642661"/>
    <w:rsid w:val="5191036A"/>
    <w:rsid w:val="52940E89"/>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2</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2024-07-12T01:37:50Z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