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_Toc2080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_Toc29345 </w:instrText>
          </w:r>
          <w:r>
            <w:rPr>
              <w:bCs/>
            </w:rPr>
            <w:fldChar w:fldCharType="separate"/>
          </w:r>
          <w:r>
            <w:rPr>
              <w:rFonts w:hint="eastAsia" w:ascii="Times New Roman" w:hAnsi="Times New Roman" w:eastAsia="楷体"/>
              <w:szCs w:val="24"/>
            </w:rPr>
            <w:t>股指：观望</w:t>
          </w:r>
          <w:r>
            <w:rPr>
              <w:bCs/>
            </w:rPr>
            <w:fldChar w:fldCharType="end"/>
          </w:r>
        </w:p>
        <w:p>
          <w:pPr>
            <w:pStyle w:val="59"/>
            <w:tabs>
              <w:tab w:val="right" w:leader="dot" w:pos="8306"/>
            </w:tabs>
          </w:pPr>
          <w:r>
            <w:rPr>
              <w:bCs/>
            </w:rPr>
            <w:fldChar w:fldCharType="begin"/>
          </w:r>
          <w:r>
            <w:rPr>
              <w:bCs/>
            </w:rPr>
            <w:instrText xml:space="preserve"> HYPERLINK \l _Toc6338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_Toc5409 </w:instrText>
          </w:r>
          <w:r>
            <w:rPr>
              <w:bCs/>
            </w:rPr>
            <w:fldChar w:fldCharType="separate"/>
          </w:r>
          <w:r>
            <w:rPr>
              <w:rFonts w:hint="eastAsia" w:ascii="Times New Roman" w:hAnsi="Times New Roman" w:eastAsia="楷体"/>
              <w:szCs w:val="24"/>
            </w:rPr>
            <w:t>贵金属：美元指数上涨，贵金属价格下跌</w:t>
          </w:r>
          <w:r>
            <w:rPr>
              <w:bCs/>
            </w:rPr>
            <w:fldChar w:fldCharType="end"/>
          </w:r>
        </w:p>
        <w:p>
          <w:pPr>
            <w:pStyle w:val="59"/>
            <w:tabs>
              <w:tab w:val="right" w:leader="dot" w:pos="8306"/>
            </w:tabs>
          </w:pPr>
          <w:r>
            <w:rPr>
              <w:bCs/>
            </w:rPr>
            <w:fldChar w:fldCharType="begin"/>
          </w:r>
          <w:r>
            <w:rPr>
              <w:bCs/>
            </w:rPr>
            <w:instrText xml:space="preserve"> HYPERLINK \l _Toc13482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_Toc13647 </w:instrText>
          </w:r>
          <w:r>
            <w:rPr>
              <w:bCs/>
            </w:rPr>
            <w:fldChar w:fldCharType="separate"/>
          </w:r>
          <w:r>
            <w:rPr>
              <w:rFonts w:hint="eastAsia" w:ascii="楷体" w:hAnsi="楷体" w:eastAsia="楷体"/>
              <w:szCs w:val="24"/>
            </w:rPr>
            <w:t>碳酸锂：智利6月碳酸锂出口量环比微降，期价横盘震荡</w:t>
          </w:r>
          <w:r>
            <w:rPr>
              <w:bCs/>
            </w:rPr>
            <w:fldChar w:fldCharType="end"/>
          </w:r>
        </w:p>
        <w:p>
          <w:pPr>
            <w:pStyle w:val="74"/>
            <w:tabs>
              <w:tab w:val="right" w:leader="dot" w:pos="8306"/>
            </w:tabs>
          </w:pPr>
          <w:r>
            <w:rPr>
              <w:bCs/>
            </w:rPr>
            <w:fldChar w:fldCharType="begin"/>
          </w:r>
          <w:r>
            <w:rPr>
              <w:bCs/>
            </w:rPr>
            <w:instrText xml:space="preserve"> HYPERLINK \l _Toc32273 </w:instrText>
          </w:r>
          <w:r>
            <w:rPr>
              <w:bCs/>
            </w:rPr>
            <w:fldChar w:fldCharType="separate"/>
          </w:r>
          <w:r>
            <w:rPr>
              <w:rFonts w:hint="eastAsia" w:ascii="楷体" w:hAnsi="楷体" w:eastAsia="楷体"/>
              <w:szCs w:val="24"/>
            </w:rPr>
            <w:t>铝：等待驱动指引，短期价格保持区间震荡</w:t>
          </w:r>
          <w:r>
            <w:rPr>
              <w:bCs/>
            </w:rPr>
            <w:fldChar w:fldCharType="end"/>
          </w:r>
        </w:p>
        <w:p>
          <w:pPr>
            <w:pStyle w:val="74"/>
            <w:tabs>
              <w:tab w:val="right" w:leader="dot" w:pos="8306"/>
            </w:tabs>
          </w:pPr>
          <w:r>
            <w:rPr>
              <w:bCs/>
            </w:rPr>
            <w:fldChar w:fldCharType="begin"/>
          </w:r>
          <w:r>
            <w:rPr>
              <w:bCs/>
            </w:rPr>
            <w:instrText xml:space="preserve"> HYPERLINK \l _Toc19045 </w:instrText>
          </w:r>
          <w:r>
            <w:rPr>
              <w:bCs/>
            </w:rPr>
            <w:fldChar w:fldCharType="separate"/>
          </w:r>
          <w:r>
            <w:rPr>
              <w:rFonts w:hint="eastAsia" w:ascii="楷体" w:hAnsi="楷体" w:eastAsia="楷体"/>
              <w:szCs w:val="24"/>
            </w:rPr>
            <w:t>锌：供应走弱需求边际修复，驱动有限价格震荡</w:t>
          </w:r>
          <w:r>
            <w:rPr>
              <w:bCs/>
            </w:rPr>
            <w:fldChar w:fldCharType="end"/>
          </w:r>
        </w:p>
        <w:p>
          <w:pPr>
            <w:pStyle w:val="74"/>
            <w:tabs>
              <w:tab w:val="right" w:leader="dot" w:pos="8306"/>
            </w:tabs>
          </w:pPr>
          <w:r>
            <w:rPr>
              <w:bCs/>
            </w:rPr>
            <w:fldChar w:fldCharType="begin"/>
          </w:r>
          <w:r>
            <w:rPr>
              <w:bCs/>
            </w:rPr>
            <w:instrText xml:space="preserve"> HYPERLINK \l _Toc7562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：反弹空间或受限</w:t>
          </w:r>
          <w:r>
            <w:rPr>
              <w:bCs/>
            </w:rPr>
            <w:fldChar w:fldCharType="end"/>
          </w:r>
        </w:p>
        <w:p>
          <w:pPr>
            <w:pStyle w:val="74"/>
            <w:tabs>
              <w:tab w:val="right" w:leader="dot" w:pos="8306"/>
            </w:tabs>
          </w:pPr>
          <w:r>
            <w:rPr>
              <w:bCs/>
            </w:rPr>
            <w:fldChar w:fldCharType="begin"/>
          </w:r>
          <w:r>
            <w:rPr>
              <w:bCs/>
            </w:rPr>
            <w:instrText xml:space="preserve"> HYPERLINK \l _Toc14312 </w:instrText>
          </w:r>
          <w:r>
            <w:rPr>
              <w:bCs/>
            </w:rPr>
            <w:fldChar w:fldCharType="separate"/>
          </w:r>
          <w:r>
            <w:rPr>
              <w:rFonts w:hint="eastAsia" w:ascii="楷体" w:hAnsi="楷体" w:eastAsia="楷体"/>
              <w:szCs w:val="24"/>
            </w:rPr>
            <w:t>镍：短期镍价震荡为主，关注印尼镍矿供应情况</w:t>
          </w:r>
          <w:r>
            <w:rPr>
              <w:bCs/>
            </w:rPr>
            <w:fldChar w:fldCharType="end"/>
          </w:r>
        </w:p>
        <w:p>
          <w:pPr>
            <w:pStyle w:val="74"/>
            <w:tabs>
              <w:tab w:val="right" w:leader="dot" w:pos="8306"/>
            </w:tabs>
          </w:pPr>
          <w:r>
            <w:rPr>
              <w:bCs/>
            </w:rPr>
            <w:fldChar w:fldCharType="begin"/>
          </w:r>
          <w:r>
            <w:rPr>
              <w:bCs/>
            </w:rPr>
            <w:instrText xml:space="preserve"> HYPERLINK \l _Toc14555 </w:instrText>
          </w:r>
          <w:r>
            <w:rPr>
              <w:bCs/>
            </w:rPr>
            <w:fldChar w:fldCharType="separate"/>
          </w:r>
          <w:r>
            <w:rPr>
              <w:rFonts w:hint="eastAsia" w:ascii="楷体" w:hAnsi="楷体" w:eastAsia="楷体"/>
              <w:szCs w:val="24"/>
            </w:rPr>
            <w:t>不锈钢：短期价格底部清晰，但上行受需求制约</w:t>
          </w:r>
          <w:r>
            <w:rPr>
              <w:bCs/>
            </w:rPr>
            <w:fldChar w:fldCharType="end"/>
          </w:r>
        </w:p>
        <w:p>
          <w:pPr>
            <w:pStyle w:val="74"/>
            <w:tabs>
              <w:tab w:val="right" w:leader="dot" w:pos="8306"/>
            </w:tabs>
          </w:pPr>
          <w:r>
            <w:rPr>
              <w:bCs/>
            </w:rPr>
            <w:fldChar w:fldCharType="begin"/>
          </w:r>
          <w:r>
            <w:rPr>
              <w:bCs/>
            </w:rPr>
            <w:instrText xml:space="preserve"> HYPERLINK \l _Toc25485 </w:instrText>
          </w:r>
          <w:r>
            <w:rPr>
              <w:bCs/>
            </w:rPr>
            <w:fldChar w:fldCharType="separate"/>
          </w:r>
          <w:r>
            <w:rPr>
              <w:rFonts w:hint="eastAsia" w:ascii="楷体" w:hAnsi="楷体" w:eastAsia="楷体"/>
              <w:szCs w:val="24"/>
            </w:rPr>
            <w:t>工业硅：西南完全步入丰水期，供应有望进一步增加</w:t>
          </w:r>
          <w:r>
            <w:rPr>
              <w:bCs/>
            </w:rPr>
            <w:fldChar w:fldCharType="end"/>
          </w:r>
        </w:p>
        <w:p>
          <w:pPr>
            <w:pStyle w:val="59"/>
            <w:tabs>
              <w:tab w:val="right" w:leader="dot" w:pos="8306"/>
            </w:tabs>
          </w:pPr>
          <w:r>
            <w:rPr>
              <w:bCs/>
            </w:rPr>
            <w:fldChar w:fldCharType="begin"/>
          </w:r>
          <w:r>
            <w:rPr>
              <w:bCs/>
            </w:rPr>
            <w:instrText xml:space="preserve"> HYPERLINK \l _Toc16832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_Toc6012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供应逐步上量 天胶成本支撑减弱下偏弱运行</w:t>
          </w:r>
          <w:r>
            <w:rPr>
              <w:bCs/>
            </w:rPr>
            <w:fldChar w:fldCharType="end"/>
          </w:r>
        </w:p>
        <w:p>
          <w:pPr>
            <w:pStyle w:val="74"/>
            <w:tabs>
              <w:tab w:val="right" w:leader="dot" w:pos="8306"/>
            </w:tabs>
          </w:pPr>
          <w:r>
            <w:rPr>
              <w:bCs/>
            </w:rPr>
            <w:fldChar w:fldCharType="begin"/>
          </w:r>
          <w:r>
            <w:rPr>
              <w:bCs/>
            </w:rPr>
            <w:instrText xml:space="preserve"> HYPERLINK \l _Toc25530 </w:instrText>
          </w:r>
          <w:r>
            <w:rPr>
              <w:bCs/>
            </w:rPr>
            <w:fldChar w:fldCharType="separate"/>
          </w:r>
          <w:r>
            <w:rPr>
              <w:rFonts w:hint="eastAsia" w:ascii="Times New Roman" w:hAnsi="Times New Roman" w:eastAsia="楷体"/>
              <w:szCs w:val="24"/>
            </w:rPr>
            <w:t>聚烯烃：需求进入淡季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_Toc31581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下游需求不足，期价加速下滑</w:t>
          </w:r>
          <w:r>
            <w:rPr>
              <w:bCs/>
            </w:rPr>
            <w:fldChar w:fldCharType="end"/>
          </w:r>
        </w:p>
        <w:p>
          <w:pPr>
            <w:pStyle w:val="74"/>
            <w:tabs>
              <w:tab w:val="right" w:leader="dot" w:pos="8306"/>
            </w:tabs>
          </w:pPr>
          <w:r>
            <w:rPr>
              <w:bCs/>
            </w:rPr>
            <w:fldChar w:fldCharType="begin"/>
          </w:r>
          <w:r>
            <w:rPr>
              <w:bCs/>
            </w:rPr>
            <w:instrText xml:space="preserve"> HYPERLINK \l _Toc20816 </w:instrText>
          </w:r>
          <w:r>
            <w:rPr>
              <w:bCs/>
            </w:rPr>
            <w:fldChar w:fldCharType="separate"/>
          </w:r>
          <w:r>
            <w:rPr>
              <w:rFonts w:hint="eastAsia" w:ascii="Times New Roman" w:hAnsi="Times New Roman" w:eastAsia="楷体"/>
              <w:szCs w:val="24"/>
            </w:rPr>
            <w:t>纯碱：交易回归基本面期市下跌，基差转正</w:t>
          </w:r>
          <w:r>
            <w:rPr>
              <w:bCs/>
            </w:rPr>
            <w:fldChar w:fldCharType="end"/>
          </w:r>
        </w:p>
        <w:p>
          <w:pPr>
            <w:pStyle w:val="59"/>
            <w:tabs>
              <w:tab w:val="right" w:leader="dot" w:pos="8306"/>
            </w:tabs>
          </w:pPr>
          <w:r>
            <w:rPr>
              <w:bCs/>
            </w:rPr>
            <w:fldChar w:fldCharType="begin"/>
          </w:r>
          <w:r>
            <w:rPr>
              <w:bCs/>
            </w:rPr>
            <w:instrText xml:space="preserve"> HYPERLINK \l _Toc784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_Toc29813 </w:instrText>
          </w:r>
          <w:r>
            <w:rPr>
              <w:bCs/>
            </w:rPr>
            <w:fldChar w:fldCharType="separate"/>
          </w:r>
          <w:r>
            <w:rPr>
              <w:rFonts w:hint="eastAsia" w:ascii="楷体" w:hAnsi="楷体" w:eastAsia="楷体"/>
              <w:bCs/>
            </w:rPr>
            <w:t>玉米与淀粉：</w:t>
          </w:r>
          <w:r>
            <w:rPr>
              <w:rFonts w:hint="eastAsia" w:ascii="楷体" w:hAnsi="楷体" w:eastAsia="楷体"/>
            </w:rPr>
            <w:t>期价延续弱势</w:t>
          </w:r>
          <w:r>
            <w:rPr>
              <w:bCs/>
            </w:rPr>
            <w:fldChar w:fldCharType="end"/>
          </w:r>
        </w:p>
        <w:p>
          <w:pPr>
            <w:pStyle w:val="74"/>
            <w:tabs>
              <w:tab w:val="right" w:leader="dot" w:pos="8306"/>
            </w:tabs>
          </w:pPr>
          <w:r>
            <w:rPr>
              <w:bCs/>
            </w:rPr>
            <w:fldChar w:fldCharType="begin"/>
          </w:r>
          <w:r>
            <w:rPr>
              <w:bCs/>
            </w:rPr>
            <w:instrText xml:space="preserve"> HYPERLINK \l _Toc26634 </w:instrText>
          </w:r>
          <w:r>
            <w:rPr>
              <w:bCs/>
            </w:rPr>
            <w:fldChar w:fldCharType="separate"/>
          </w:r>
          <w:r>
            <w:rPr>
              <w:rFonts w:hint="eastAsia" w:ascii="楷体" w:hAnsi="楷体" w:eastAsia="楷体"/>
              <w:bCs/>
            </w:rPr>
            <w:t>畜禽养殖：期价高开低走</w:t>
          </w:r>
          <w:r>
            <w:rPr>
              <w:bCs/>
            </w:rPr>
            <w:fldChar w:fldCharType="end"/>
          </w:r>
        </w:p>
        <w:p>
          <w:pPr>
            <w:pStyle w:val="74"/>
            <w:tabs>
              <w:tab w:val="right" w:leader="dot" w:pos="8306"/>
            </w:tabs>
          </w:pPr>
          <w:r>
            <w:rPr>
              <w:bCs/>
            </w:rPr>
            <w:fldChar w:fldCharType="begin"/>
          </w:r>
          <w:r>
            <w:rPr>
              <w:bCs/>
            </w:rPr>
            <w:instrText xml:space="preserve"> HYPERLINK \l _Toc25320 </w:instrText>
          </w:r>
          <w:r>
            <w:rPr>
              <w:bCs/>
            </w:rPr>
            <w:fldChar w:fldCharType="separate"/>
          </w:r>
          <w:r>
            <w:rPr>
              <w:rFonts w:hint="eastAsia" w:ascii="楷体" w:hAnsi="楷体" w:eastAsia="楷体"/>
              <w:bCs/>
            </w:rPr>
            <w:t>白糖：区间震荡整理</w:t>
          </w:r>
          <w:r>
            <w:rPr>
              <w:bCs/>
            </w:rPr>
            <w:fldChar w:fldCharType="end"/>
          </w:r>
        </w:p>
        <w:p>
          <w:pPr>
            <w:pStyle w:val="74"/>
            <w:tabs>
              <w:tab w:val="right" w:leader="dot" w:pos="8306"/>
            </w:tabs>
          </w:pPr>
          <w:r>
            <w:rPr>
              <w:bCs/>
            </w:rPr>
            <w:fldChar w:fldCharType="begin"/>
          </w:r>
          <w:r>
            <w:rPr>
              <w:bCs/>
            </w:rPr>
            <w:instrText xml:space="preserve"> HYPERLINK \l _Toc10920 </w:instrText>
          </w:r>
          <w:r>
            <w:rPr>
              <w:bCs/>
            </w:rPr>
            <w:fldChar w:fldCharType="separate"/>
          </w:r>
          <w:r>
            <w:rPr>
              <w:rFonts w:hint="eastAsia" w:ascii="楷体" w:hAnsi="楷体" w:eastAsia="楷体"/>
              <w:bCs/>
            </w:rPr>
            <w:t>棉花：反弹乏力，内外棉再次试探70美分/磅以及14500元/吨支撑位</w:t>
          </w:r>
          <w:r>
            <w:rPr>
              <w:bCs/>
            </w:rPr>
            <w:fldChar w:fldCharType="end"/>
          </w:r>
        </w:p>
        <w:p>
          <w:pPr>
            <w:pStyle w:val="59"/>
            <w:tabs>
              <w:tab w:val="right" w:leader="dot" w:pos="8306"/>
            </w:tabs>
          </w:pPr>
          <w:r>
            <w:rPr>
              <w:bCs/>
            </w:rPr>
            <w:fldChar w:fldCharType="begin"/>
          </w:r>
          <w:r>
            <w:rPr>
              <w:bCs/>
            </w:rPr>
            <w:instrText xml:space="preserve"> HYPERLINK \l _Toc16074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_Toc17138 </w:instrText>
          </w:r>
          <w:r>
            <w:rPr>
              <w:bCs/>
            </w:rPr>
            <w:fldChar w:fldCharType="separate"/>
          </w:r>
          <w:r>
            <w:rPr>
              <w:rFonts w:hint="eastAsia" w:ascii="Times New Roman" w:hAnsi="Times New Roman" w:eastAsia="楷体"/>
              <w:szCs w:val="24"/>
            </w:rPr>
            <w:t>集运指数（欧线）：本周订舱价格小幅回落，多头情绪冷却</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080"/>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29345"/>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观望</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昨日央行重启正回购，市场交易流动性收紧，小微盘股继续出清，短期观望为主。市场变盘节点取决于关键政策出台的时点与力度以及内需上行的时点和弹性。</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6338"/>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5409"/>
      <w:r>
        <w:rPr>
          <w:rFonts w:hint="eastAsia" w:ascii="Times New Roman" w:hAnsi="Times New Roman" w:eastAsia="楷体"/>
          <w:b/>
          <w:color w:val="000000" w:themeColor="text1"/>
          <w:sz w:val="24"/>
          <w:szCs w:val="24"/>
          <w14:textFill>
            <w14:solidFill>
              <w14:schemeClr w14:val="tx1"/>
            </w14:solidFill>
          </w14:textFill>
        </w:rPr>
        <w:t>贵金属：美元指数上涨，贵金属价格下跌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涨0.14%至105.02，沪金跌1.08%至557.00元/克，沪银跌1.51%至8070元/千克。美国6月纽约联储1年通胀预期为3.02%，前值3.17%。欧洲央行管委诺特表示，没有理由在7月降息，下一次真正可能降息的会议是在9月。数据显示美国经济、就业走弱，降息预期升温，CME美联储观察模型显示，市场预期美联储9月降息几率升至约79%。关注本周美国CPI、PPI通胀数据公布情况。中长线逻辑不变，在美国经济面临下行压力期间，贵金属资产的避险价值或集中体现，利率下行的环境中贵金属作为零息资产的配置吸引力也有所增强。</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13482"/>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3647"/>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碳酸锂：智利6月碳酸锂出口量环比微降，期价横盘震荡</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横盘震荡，11合约跌0.27%至93650元/吨，碳酸锂注册仓单增加2919手至30216手。交割方面，7月8日07合约完成配对350手，7月累计匹配9727手；7月8日07合约完成交割736手，7月累计完成交割8798手。智利6月碳酸锂出口总量约为20948吨，环比减少6.7%；其中，出口至中国的碳酸锂约为17400吨，环比减少3.5%。碳酸锂周度产量小幅下降，江西地区不同程度减产，外采矿石提锂产能因成本持续倒挂，开工偏低。下游磷酸铁锂产量增速放缓、排产小幅下滑，三元价格持平、排产低位企稳，需求有待进一步改善。短期内维持观望情绪，期价或偏弱震荡，参考区间85000-98000元/吨，关注前低附近支撑。后续留意传统金九银十旺季前的补库需求能否兑现，海外项目投产未来或贡献一定增量，由于供应相对过剩的预期相对较难扭转，中长期角度建议仍维持偏空思路。</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32273"/>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等待驱动指引，短期价格保持区间震荡</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经济就业数据持续走弱，市场对降息有转好预期，实际联储会议纪要显示官员们对降息仍持鹰派态度，警惕海外市场走经济衰退逻辑，国内PMI数据表现相对有韧性，近期宏观情绪受外盘波动较大。上游矿端供应紧缺限制氧化铝生产，氧化铝价坚挺为电解铝价提供成本支撑，铝棒减产明显现货库存去库，国内铝锭库存走增，主因电解铝产能持续走增供应增量持续投放，进口亏损导致外入补充限，需求内需走弱，外需偏强，淡季国内下游加工企业开工率下滑，未锻造铝及铝材出口量走增。成本端提供支撑，铝棒减产现货去库，铝锭供应高位库存累积，需求内弱外强，价格上下有限，短期或宽幅震荡于20000-21500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19045"/>
      <w:r>
        <w:rPr>
          <w:rFonts w:hint="eastAsia" w:ascii="楷体" w:hAnsi="楷体" w:eastAsia="楷体"/>
          <w:b/>
          <w:color w:val="000000" w:themeColor="text1"/>
          <w:sz w:val="24"/>
          <w:szCs w:val="24"/>
          <w14:textFill>
            <w14:solidFill>
              <w14:schemeClr w14:val="tx1"/>
            </w14:solidFill>
          </w14:textFill>
        </w:rPr>
        <w:t>锌：供应走弱需求边际修复，驱动有限价格震荡</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就业经济数据走弱，市场对年内降息重燃信心，实际联储官员对降息态度依旧谨慎，国内经济数据表现强韧，近期地产销售数据明显转好。锌矿TC加工费保持低位，矿端利润丰厚，冶炼端持续亏损，中游炼厂有超预期减产可能，进口盈利窗口持续关闭，外入补充相对有限，前期旺季需求消费偏淡，淡季需求消费边际修复，交易所库存及社会库存高位小幅去库，库存去化节奏较缓。矿端成本高企支撑锌价，中游生产利润亏损导致厂家主动减产，下游淡季需求表现不弱缓慢边际修复，库存高位去化节奏缓慢，短期锌价驱动有限，保持23000-25000区间震荡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7562"/>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：反弹空间或受限</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(1)库存：7月8日，SHFE仓单库存249290吨，减1299吨；LME仓单库存191475吨，减150吨。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(2)精废价差：7月8日，Mysteel精废价差1623，收窄323。目前价差在合理价差1499之上。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综述：近期公布美国经济数据持续走弱，短期降息预期升温，但中期角度对铜价不利，关注宏观交易逻辑转变。当前铜矿仍处于偏紧态势，TC现货偏稳运 行于0美金附近，后期冶炼供应或仍将面临较大考验，持续关注电解铜产量变化，废铜及阳极铜的补充也是关键。当前价格反弹后需求再次受到抑制， 库存在短暂去化后再次转升。预计价格反弹空间受限，波动区间维持7.7-8.1万。关注本周四晚间美国6月CPI数据公布。</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4312"/>
      <w:r>
        <w:rPr>
          <w:rFonts w:hint="eastAsia" w:ascii="楷体" w:hAnsi="楷体" w:eastAsia="楷体"/>
          <w:b/>
          <w:color w:val="000000" w:themeColor="text1"/>
          <w:sz w:val="24"/>
          <w:szCs w:val="24"/>
          <w14:textFill>
            <w14:solidFill>
              <w14:schemeClr w14:val="tx1"/>
            </w14:solidFill>
          </w14:textFill>
        </w:rPr>
        <w:t>镍：短期镍价震荡为主，关注印尼镍矿供应情况</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消息方面，SMM调研确认镍铁收储事件属实，但由于过往几次镍铁收储的量级都较少，对镍铁供需影响不大，因此预计对期价扰动有限。镍矿方面，由于行政时滞、印尼下雨天气，目前印尼镍矿流通资源仍有限。原料方面，镍铁方面，由于印尼镍矿在现货紧张情况下内贸升水持续上涨，镍铁价格具有底部支撑。硫酸镍方面，头部部分三元材料厂家排产边际回温，但二三线厂家排产维持下滑，加上高库存有待消化，对硫酸镍需求仍疲弱。供应方面，由于精炼镍出口利润边际收窄，华友等厂家开始在国内放货，国内精炼镍现货资源偏紧问题或可逐步缓解。需求方面则仍然无亮点可循。库存方面，社库维持去化；LME镍库存持续积累。综合而言，虽宏观情绪边际好转，但镍过剩格局持续，需求未有起色，价格上方空间有限，不过印尼镍矿现货偏紧形成产业链成本支撑，价格深跌动能亦不足，关注印尼镍矿现货供应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4555"/>
      <w:r>
        <w:rPr>
          <w:rFonts w:hint="eastAsia" w:ascii="楷体" w:hAnsi="楷体" w:eastAsia="楷体"/>
          <w:b/>
          <w:color w:val="000000" w:themeColor="text1"/>
          <w:sz w:val="24"/>
          <w:szCs w:val="24"/>
          <w14:textFill>
            <w14:solidFill>
              <w14:schemeClr w14:val="tx1"/>
            </w14:solidFill>
          </w14:textFill>
        </w:rPr>
        <w:t>不锈钢：短期价格底部清晰，但上行受需求制约</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消息方面，SMM调研确认镍铁收储事件属实，但由于过往几次镍铁收储的量级都较少，对镍铁供需影响不大，因此预计对期价扰动有限。镍矿方面，印尼镍矿RKAB审批已通过2.21亿湿吨，但由于行政时滞、天气因素，目前印尼镍矿流通资源仍有限。镍铁方面，由于印尼镍矿内贸升水持续上涨，镍铁生产成本抬升，加上6月印尼镍铁产量环比下降5%，镍铁价格具有底部支撑。整体而言，目前不锈钢底部成本较为坚挺。供应方面，据Mysteel统计，7月国内不锈钢厂粗钢产量316.55万吨，月环比下降9.58万吨。需求方面，下游整体成交仍以刚需采购为主，终端需求表现亦乏善可陈，宏观利好政策作用仍待时间验证。库存方面，到货偏少，社库维持去库，而仓单库存仍居历史高位。综合而言，印尼镍矿现货偏紧对产业成本带来较强支撑，加上钢厂减产使供需压力缓和，社库维持去化，不锈钢价格底部空间较清晰，但需求不振使价格回升弹性受限，主要运行区间参考13600-14600元/吨。</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2548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西南完全步入丰水期，供应有望进一步增加</w:t>
      </w:r>
      <w:bookmarkEnd w:id="25"/>
    </w:p>
    <w:p>
      <w:pPr>
        <w:ind w:left="630" w:leftChars="300"/>
        <w:rPr>
          <w:rFonts w:ascii="楷体" w:hAnsi="楷体" w:eastAsia="楷体"/>
          <w:sz w:val="24"/>
          <w:szCs w:val="24"/>
        </w:rPr>
      </w:pPr>
      <w:r>
        <w:rPr>
          <w:rFonts w:hint="eastAsia" w:ascii="楷体" w:hAnsi="楷体" w:eastAsia="楷体"/>
          <w:sz w:val="24"/>
          <w:szCs w:val="24"/>
        </w:rPr>
        <w:t>7月5日，Si2409主力合约呈下行走势，收盘价11260元/吨，较上一收盘价涨跌幅-1.05%。从基本面来看，下游需求依旧疲软，且暂无出现改善迹象，叠加西南持续复产，供应有望得到进一步增加，或将进一步加剧宽松格局，预计盘面后续仍有下跌风险。策略上，建议可尝试逢高做空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16832"/>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6012"/>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供应逐步上量 天胶成本支撑减弱下偏弱运行</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大幅回落。目前看，全球产区降水预期偏强，中长期对割胶工作有利，总供应上量预期明显，目前原料价格有所下滑，产量拐点仍需进一步观察。国内云南产区干旱问题有所缓解，胶水价格居高维稳。据当地胶农反映，目前产区橡胶林长势正常。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回落，对胶价底部支撑减弱。但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25530"/>
      <w:r>
        <w:rPr>
          <w:rFonts w:hint="eastAsia" w:ascii="Times New Roman" w:hAnsi="Times New Roman" w:eastAsia="楷体"/>
          <w:b/>
          <w:color w:val="000000" w:themeColor="text1"/>
          <w:sz w:val="24"/>
          <w:szCs w:val="24"/>
          <w14:textFill>
            <w14:solidFill>
              <w14:schemeClr w14:val="tx1"/>
            </w14:solidFill>
          </w14:textFill>
        </w:rPr>
        <w:t>聚烯烃：需求进入淡季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31581"/>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下游需求不足，期价加速下滑</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上看，玻璃昨日盘收盘价为1494元/吨，跌3.36%，加速下跌。现货方面，浮法玻璃河北沙河大板现货降至1412元/吨，维持平稳。库存方面，玻璃在产企业总库存为6158.8万重量箱，环比上周上升176万重量箱（2.94%）。5月地产数据延续低迷态势，竣工和销售累计增速依然疲软。政策出台后，二手房成交有好转，但近期二手房再次出现一定降温。新房销售差，地产资金压力依然较大，对竣工的兑现会有牵制。加工订单方面，原片价格上涨未成功传导至下游，加工厂利润压缩，下游订单环比走弱。</w:t>
      </w:r>
    </w:p>
    <w:p>
      <w:pPr>
        <w:ind w:left="630" w:leftChars="300"/>
        <w:rPr>
          <w:rFonts w:hint="eastAsia" w:ascii="楷体" w:hAnsi="楷体" w:eastAsia="楷体"/>
          <w:sz w:val="24"/>
          <w:szCs w:val="24"/>
        </w:rPr>
      </w:pPr>
      <w:r>
        <w:rPr>
          <w:rFonts w:hint="eastAsia" w:ascii="楷体" w:hAnsi="楷体" w:eastAsia="楷体"/>
          <w:sz w:val="24"/>
          <w:szCs w:val="24"/>
        </w:rPr>
        <w:t>总体来看，6月市场情绪回落，叠加地产数据打压期货盘面，前期政策利多因素消化后玻璃期货转为交易现实。库存本周大幅上升，期价受压，短期内预计持续偏弱建议观望。</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1" w:name="_Toc20816"/>
      <w:r>
        <w:rPr>
          <w:rFonts w:hint="eastAsia" w:ascii="Times New Roman" w:hAnsi="Times New Roman" w:eastAsia="楷体"/>
          <w:b/>
          <w:color w:val="000000" w:themeColor="text1"/>
          <w:sz w:val="24"/>
          <w:szCs w:val="24"/>
          <w14:textFill>
            <w14:solidFill>
              <w14:schemeClr w14:val="tx1"/>
            </w14:solidFill>
          </w14:textFill>
        </w:rPr>
        <w:t>纯碱：交易回归基本面期市下跌，基差转正</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盘面来看，日盘纯碱主力合约收盘2040元/吨，本日跌5.51%。现货来看，今日国内价格保持平稳，华北重碱价格与华中轻碱价格分别为2200元/吨、1950元/吨，纯碱市场偏弱运行。</w:t>
      </w:r>
    </w:p>
    <w:p>
      <w:pPr>
        <w:ind w:left="630" w:leftChars="300"/>
        <w:rPr>
          <w:rFonts w:hint="eastAsia" w:ascii="楷体" w:hAnsi="楷体" w:eastAsia="楷体"/>
          <w:sz w:val="24"/>
          <w:szCs w:val="24"/>
        </w:rPr>
      </w:pPr>
      <w:r>
        <w:rPr>
          <w:rFonts w:hint="eastAsia" w:ascii="楷体" w:hAnsi="楷体" w:eastAsia="楷体"/>
          <w:sz w:val="24"/>
          <w:szCs w:val="24"/>
        </w:rPr>
        <w:t>基本面，本周纯碱行业开工约88.86%，环比下降0.32%。供应端，有消息称，7月份江苏井神、江苏丰成、青海五彩等碱企计划停车检修，市场检修损失量预期增加，加重前期多头情绪。</w:t>
      </w:r>
    </w:p>
    <w:p>
      <w:pPr>
        <w:ind w:left="630" w:leftChars="300"/>
        <w:rPr>
          <w:rFonts w:ascii="楷体" w:hAnsi="楷体" w:eastAsia="楷体"/>
          <w:sz w:val="24"/>
          <w:szCs w:val="24"/>
        </w:rPr>
      </w:pPr>
      <w:r>
        <w:rPr>
          <w:rFonts w:hint="eastAsia" w:ascii="楷体" w:hAnsi="楷体" w:eastAsia="楷体"/>
          <w:sz w:val="24"/>
          <w:szCs w:val="24"/>
        </w:rPr>
        <w:t>目前，但目前供应逐步恢复，期货市场受供应端消息影响，纯碱主力合约连续反弹后回归基本面，加速下跌，后市仍需主要关注供应端变动情况。</w:t>
      </w:r>
    </w:p>
    <w:p>
      <w:pPr>
        <w:rPr>
          <w:rFonts w:hint="eastAsia" w:ascii="楷体" w:hAnsi="楷体" w:eastAsia="楷体"/>
          <w:color w:val="000000" w:themeColor="text1"/>
          <w:sz w:val="24"/>
          <w:szCs w:val="24"/>
          <w14:textFill>
            <w14:solidFill>
              <w14:schemeClr w14:val="tx1"/>
            </w14:solidFill>
          </w14:textFill>
        </w:rPr>
      </w:pP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784"/>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2981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期价延续弱势</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近期期价持续回落调整，主要源于市场对东北产区高价往下游传导的担忧，其背后是国内玉米产需缺口迟迟未能体现，因华北产区和南方销区对东北产区和北方港口依然严重倒挂，这种情况的延续使得市场进而担心出现类似于2019年三季度现货崩盘的可能性。但我们基于供需平衡表的预估，仍倾向于国内玉米产需缺口将逐步显现，但考虑到当前期价更贴近北方港口甚至东北产区现货价格，仍需要现货特别是华北产区和南方销区上涨来实现正向反馈。综上所述，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我们继续倾向于认为淀粉-玉米价差仍有望阶段性走扩，主要原因有三，其一是外盘美豆弱势有望通过国内蛋白粕带动国内副产品价格维持低位；其二是下游行业季节性需求旺季有望带动行业供需阶段性改善；其三是华北小麦饲用替代量不及预期有望带动华北-东北玉米价差继续走扩，继而抬高华北淀粉生产成本。综上所述，我们维持谨慎看多观点，建议投资者持有前期单边多单及淀粉-玉米价差走扩套利。</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4" w:name="_Toc26634"/>
      <w:r>
        <w:rPr>
          <w:rFonts w:hint="eastAsia" w:ascii="楷体" w:hAnsi="楷体" w:eastAsia="楷体"/>
          <w:b/>
          <w:bCs/>
          <w:color w:val="000000" w:themeColor="text1"/>
          <w14:textFill>
            <w14:solidFill>
              <w14:schemeClr w14:val="tx1"/>
            </w14:solidFill>
          </w14:textFill>
        </w:rPr>
        <w:t>畜禽养殖：期价高开低走</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考虑到各家机构数据均显示能繁母猪存栏已经触底回升，而由于仔猪养殖利润高企更早带动配种分娩率的提升，远期特别是明年供需趋于改善已是市场普遍预期，但对于今年下半年生猪供应恢复进度与现货走势节奏依然存在较大分歧。从新生仔猪数量来看，三季度生猪出栏量依然偏低，同比和环比仍有望继续下滑，而四季度生猪出栏则有望环比增加，甚至同比恢复，但需求则季节性改善。其中一个重要变量或在于出栏体重，这取决于市场心态变化和养殖户出栏节奏。六月中旬以来现货逐步转弱，主要源于猪价高企对需求的压制及其气温上升对压栏/二次育肥的影响。值得留意的是，市场能阶段性出栏带动体重下降，反而有利于后期至少是三季度猪价上涨。据此我们维持谨慎看多观点，建议投资者持有前期2409合约多单，还可以考虑正套操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这样的供需格局认知下，市场利多因素在于渠道库存偏低，因前期市场普遍认为供需过剩而存在看跌心理。而参考季节性规律来看，端午节后低点或已经出现，接下来有望进入季节性上涨阶段，我们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综上所述，我们维持谨慎看多观点，建议投资者持有旺季合约多单，亦可以考虑轻仓正套操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5" w:name="_Toc25320"/>
      <w:r>
        <w:rPr>
          <w:rFonts w:hint="eastAsia" w:ascii="楷体" w:hAnsi="楷体" w:eastAsia="楷体"/>
          <w:b/>
          <w:bCs/>
          <w:color w:val="000000" w:themeColor="text1"/>
          <w14:textFill>
            <w14:solidFill>
              <w14:schemeClr w14:val="tx1"/>
            </w14:solidFill>
          </w14:textFill>
        </w:rPr>
        <w:t>白糖：区间震荡整理</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外盘纽约原糖主力合约和伦敦白砂糖主力合约分别上涨0.70%和下跌1.53%。巴西对外贸易秘书处( Secex ）公布的出口数据显示，巴西7月第一周出口糖103.63万吨，日均出口量为20.73万吨，较上年7月全月的日均出口量14.02万吨增加48%。上年7月全月出口量为294.42万吨。国内夜盘白糖主力合约下跌0.34%。国内在传统旺季的刚需驱使下，终端采购积极性增强，去库存进程加快，库存压力减轻，期价存在一定支撑。预计白糖整体或形成区间波段走势，区间6100-6350，可考虑高抛低吸。</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10920"/>
      <w:r>
        <w:rPr>
          <w:rFonts w:hint="eastAsia" w:ascii="楷体" w:hAnsi="楷体" w:eastAsia="楷体"/>
          <w:b/>
          <w:bCs/>
          <w:color w:val="000000" w:themeColor="text1"/>
          <w14:textFill>
            <w14:solidFill>
              <w14:schemeClr w14:val="tx1"/>
            </w14:solidFill>
          </w14:textFill>
        </w:rPr>
        <w:t>棉花：反弹乏力，内外棉再次试探70美分/磅以及14500元/吨支撑位</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美棉下跌0.14%。据美国农业部网站7月8日消息，美国农业部( USDA ）在每周作物生长报告中公布称，截至2024年7月7日当周，美国棉花优良率为45%，前一周为50%，上年同期为48%。截至当周，美国棉花结铃率为19%，上一周为11%，上年同期为15%,五年均值为15%。截至当周，美国棉花现蕾率为52%，上一周为43%，上年同期为51%,五年均值为50%。国内夜盘棉花和棉纱主力合约分别上涨0.14%和下跌0.34%。国内淡季氛围依然浓厚，纱线价格尚未止跌。虽价格已处于历史相对低位，但尚缺乏明显利多驱动。该水平价格下预计拋储可能性较低，供需格局有望在8月旺季到来时改善。价格下方空间有限，预计在14500元/吨一线附近震荡磨底，等待企稳后的长线买入机会。</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16074"/>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17138"/>
      <w:r>
        <w:rPr>
          <w:rFonts w:hint="eastAsia" w:ascii="Times New Roman" w:hAnsi="Times New Roman" w:eastAsia="楷体"/>
          <w:b/>
          <w:color w:val="000000" w:themeColor="text1"/>
          <w:sz w:val="24"/>
          <w:szCs w:val="24"/>
          <w14:textFill>
            <w14:solidFill>
              <w14:schemeClr w14:val="tx1"/>
            </w14:solidFill>
          </w14:textFill>
        </w:rPr>
        <w:t>集运指数（欧线）：本周订舱价格小幅回落，多头情绪冷却</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今日集运指数期货合约集体走弱。主力08合约开盘后维持震荡向下，收盘为5430点，较上一交易日跌4.75%。EC所有合约成交量为15.73万手，持仓量10.7万手，交投活跃度大幅提升。现货方面，7月5日，上海港出口至欧洲基本港市场运价（SCFI欧线）为4857美元/TEU，较上期回落0.5%，迎来回落。7月8日盘后公布，SCFIS欧线最新为5432.34点，环比上涨1.48%，涨幅放缓。</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另外，船司们继续提价支撑近月合约：马士基开放第29周其他航次的报价，上海至鹿特丹开舱7800美金大柜，截至晚间已涨至8368美金。达飞上调7月第二周开始的航次的线上报价，从4730/9060至4980/9560，涨幅250/500。</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来看，据标普全球发布的数据显示，欧元区6月综合PMI初值50.8，低于前值及市场预期，创3个月新低。其中，主要国家德国和法国数据均出现下滑，显示出欧洲经济基础尚不牢固，未来经济复苏的进程可能要慢于预期。</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总体来看，各大船司最新报价有所分化，从SCFI指数来看本周订舱价格平均录得回落，多头情绪降温获利减仓，期价高位回落，建议投资者谨慎操作。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72481108"/>
      <w:bookmarkStart w:id="40" w:name="_Toc71212556"/>
      <w:bookmarkStart w:id="41" w:name="_Toc12779"/>
      <w:bookmarkStart w:id="42" w:name="_Toc98426751"/>
      <w:bookmarkStart w:id="43" w:name="_Toc19667"/>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2024年7月9日星期二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E955A3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D65FDD"/>
    <w:rsid w:val="36C14F46"/>
    <w:rsid w:val="36C44D71"/>
    <w:rsid w:val="373F75CC"/>
    <w:rsid w:val="37C101D4"/>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F271764"/>
    <w:rsid w:val="4F7D0512"/>
    <w:rsid w:val="4FBA2B77"/>
    <w:rsid w:val="4FD46E6F"/>
    <w:rsid w:val="5005695E"/>
    <w:rsid w:val="50286811"/>
    <w:rsid w:val="50700F42"/>
    <w:rsid w:val="51266B84"/>
    <w:rsid w:val="51642661"/>
    <w:rsid w:val="5191036A"/>
    <w:rsid w:val="546B5509"/>
    <w:rsid w:val="548642E9"/>
    <w:rsid w:val="54C12E33"/>
    <w:rsid w:val="55633225"/>
    <w:rsid w:val="556D6DC3"/>
    <w:rsid w:val="563B25E1"/>
    <w:rsid w:val="56DD4D3A"/>
    <w:rsid w:val="57555A7B"/>
    <w:rsid w:val="5770382C"/>
    <w:rsid w:val="57846909"/>
    <w:rsid w:val="57CB522F"/>
    <w:rsid w:val="57F46FBE"/>
    <w:rsid w:val="58042686"/>
    <w:rsid w:val="58246D5D"/>
    <w:rsid w:val="58EC5960"/>
    <w:rsid w:val="58F400B4"/>
    <w:rsid w:val="59151C86"/>
    <w:rsid w:val="59C52328"/>
    <w:rsid w:val="5AD37D8A"/>
    <w:rsid w:val="5AF87BF9"/>
    <w:rsid w:val="5B906095"/>
    <w:rsid w:val="5BF60A75"/>
    <w:rsid w:val="5C813B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A2F056E"/>
    <w:rsid w:val="6B292599"/>
    <w:rsid w:val="6D9172E5"/>
    <w:rsid w:val="6DF1703F"/>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78F5135"/>
    <w:rsid w:val="77B53D6B"/>
    <w:rsid w:val="77D54B08"/>
    <w:rsid w:val="78431DDA"/>
    <w:rsid w:val="784F7772"/>
    <w:rsid w:val="785868AD"/>
    <w:rsid w:val="78713929"/>
    <w:rsid w:val="78E55995"/>
    <w:rsid w:val="79267C0B"/>
    <w:rsid w:val="793F61E8"/>
    <w:rsid w:val="79C90FB7"/>
    <w:rsid w:val="7A25684F"/>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2024-07-09T01:29:56Z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