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4" w:name="_GoBack"/>
          <w:bookmarkEnd w:id="44"/>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_Toc4630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_Toc9444 </w:instrText>
          </w:r>
          <w:r>
            <w:rPr>
              <w:bCs/>
            </w:rPr>
            <w:fldChar w:fldCharType="separate"/>
          </w:r>
          <w:r>
            <w:rPr>
              <w:rFonts w:hint="eastAsia" w:ascii="Times New Roman" w:hAnsi="Times New Roman" w:eastAsia="楷体"/>
              <w:szCs w:val="24"/>
            </w:rPr>
            <w:t>股指：短线待做多信号更为明显再行入场</w:t>
          </w:r>
          <w:r>
            <w:rPr>
              <w:bCs/>
            </w:rPr>
            <w:fldChar w:fldCharType="end"/>
          </w:r>
        </w:p>
        <w:p>
          <w:pPr>
            <w:pStyle w:val="59"/>
            <w:tabs>
              <w:tab w:val="right" w:leader="dot" w:pos="8306"/>
            </w:tabs>
          </w:pPr>
          <w:r>
            <w:rPr>
              <w:bCs/>
            </w:rPr>
            <w:fldChar w:fldCharType="begin"/>
          </w:r>
          <w:r>
            <w:rPr>
              <w:bCs/>
            </w:rPr>
            <w:instrText xml:space="preserve"> HYPERLINK \l _Toc21334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_Toc27615 </w:instrText>
          </w:r>
          <w:r>
            <w:rPr>
              <w:bCs/>
            </w:rPr>
            <w:fldChar w:fldCharType="separate"/>
          </w:r>
          <w:r>
            <w:rPr>
              <w:rFonts w:hint="eastAsia" w:ascii="Times New Roman" w:hAnsi="Times New Roman" w:eastAsia="楷体"/>
              <w:szCs w:val="24"/>
            </w:rPr>
            <w:t>贵金属：美十债收益率上涨，贵金属价格窄幅震荡</w:t>
          </w:r>
          <w:r>
            <w:rPr>
              <w:bCs/>
            </w:rPr>
            <w:fldChar w:fldCharType="end"/>
          </w:r>
        </w:p>
        <w:p>
          <w:pPr>
            <w:pStyle w:val="59"/>
            <w:tabs>
              <w:tab w:val="right" w:leader="dot" w:pos="8306"/>
            </w:tabs>
          </w:pPr>
          <w:r>
            <w:rPr>
              <w:bCs/>
            </w:rPr>
            <w:fldChar w:fldCharType="begin"/>
          </w:r>
          <w:r>
            <w:rPr>
              <w:bCs/>
            </w:rPr>
            <w:instrText xml:space="preserve"> HYPERLINK \l _Toc27994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_Toc9109 </w:instrText>
          </w:r>
          <w:r>
            <w:rPr>
              <w:bCs/>
            </w:rPr>
            <w:fldChar w:fldCharType="separate"/>
          </w:r>
          <w:r>
            <w:rPr>
              <w:rFonts w:hint="eastAsia" w:ascii="楷体" w:hAnsi="楷体" w:eastAsia="楷体"/>
              <w:szCs w:val="24"/>
            </w:rPr>
            <w:t>碳酸锂：07合约进入交割月，期价低开高走</w:t>
          </w:r>
          <w:r>
            <w:rPr>
              <w:bCs/>
            </w:rPr>
            <w:fldChar w:fldCharType="end"/>
          </w:r>
        </w:p>
        <w:p>
          <w:pPr>
            <w:pStyle w:val="74"/>
            <w:tabs>
              <w:tab w:val="right" w:leader="dot" w:pos="8306"/>
            </w:tabs>
          </w:pPr>
          <w:r>
            <w:rPr>
              <w:bCs/>
            </w:rPr>
            <w:fldChar w:fldCharType="begin"/>
          </w:r>
          <w:r>
            <w:rPr>
              <w:bCs/>
            </w:rPr>
            <w:instrText xml:space="preserve"> HYPERLINK \l _Toc15628 </w:instrText>
          </w:r>
          <w:r>
            <w:rPr>
              <w:bCs/>
            </w:rPr>
            <w:fldChar w:fldCharType="separate"/>
          </w:r>
          <w:r>
            <w:rPr>
              <w:rFonts w:hint="eastAsia" w:ascii="楷体" w:hAnsi="楷体" w:eastAsia="楷体"/>
              <w:szCs w:val="24"/>
            </w:rPr>
            <w:t>铝：驱动有限，铝价保持低位区间震荡</w:t>
          </w:r>
          <w:r>
            <w:rPr>
              <w:bCs/>
            </w:rPr>
            <w:fldChar w:fldCharType="end"/>
          </w:r>
        </w:p>
        <w:p>
          <w:pPr>
            <w:pStyle w:val="74"/>
            <w:tabs>
              <w:tab w:val="right" w:leader="dot" w:pos="8306"/>
            </w:tabs>
          </w:pPr>
          <w:r>
            <w:rPr>
              <w:bCs/>
            </w:rPr>
            <w:fldChar w:fldCharType="begin"/>
          </w:r>
          <w:r>
            <w:rPr>
              <w:bCs/>
            </w:rPr>
            <w:instrText xml:space="preserve"> HYPERLINK \l _Toc14241 </w:instrText>
          </w:r>
          <w:r>
            <w:rPr>
              <w:bCs/>
            </w:rPr>
            <w:fldChar w:fldCharType="separate"/>
          </w:r>
          <w:r>
            <w:rPr>
              <w:rFonts w:hint="eastAsia" w:ascii="楷体" w:hAnsi="楷体" w:eastAsia="楷体"/>
              <w:szCs w:val="24"/>
            </w:rPr>
            <w:t>锌：锌价宽幅震荡整理</w:t>
          </w:r>
          <w:r>
            <w:rPr>
              <w:bCs/>
            </w:rPr>
            <w:fldChar w:fldCharType="end"/>
          </w:r>
        </w:p>
        <w:p>
          <w:pPr>
            <w:pStyle w:val="74"/>
            <w:tabs>
              <w:tab w:val="right" w:leader="dot" w:pos="8306"/>
            </w:tabs>
          </w:pPr>
          <w:r>
            <w:rPr>
              <w:bCs/>
            </w:rPr>
            <w:fldChar w:fldCharType="begin"/>
          </w:r>
          <w:r>
            <w:rPr>
              <w:bCs/>
            </w:rPr>
            <w:instrText xml:space="preserve"> HYPERLINK \l _Toc16554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：偏震荡为主</w:t>
          </w:r>
          <w:r>
            <w:rPr>
              <w:bCs/>
            </w:rPr>
            <w:fldChar w:fldCharType="end"/>
          </w:r>
        </w:p>
        <w:p>
          <w:pPr>
            <w:pStyle w:val="74"/>
            <w:tabs>
              <w:tab w:val="right" w:leader="dot" w:pos="8306"/>
            </w:tabs>
          </w:pPr>
          <w:r>
            <w:rPr>
              <w:bCs/>
            </w:rPr>
            <w:fldChar w:fldCharType="begin"/>
          </w:r>
          <w:r>
            <w:rPr>
              <w:bCs/>
            </w:rPr>
            <w:instrText xml:space="preserve"> HYPERLINK \l _Toc4644 </w:instrText>
          </w:r>
          <w:r>
            <w:rPr>
              <w:bCs/>
            </w:rPr>
            <w:fldChar w:fldCharType="separate"/>
          </w:r>
          <w:r>
            <w:rPr>
              <w:rFonts w:hint="eastAsia" w:ascii="楷体" w:hAnsi="楷体" w:eastAsia="楷体"/>
              <w:szCs w:val="24"/>
            </w:rPr>
            <w:t>镍：缺乏反弹驱动，短期镍价或区间震荡</w:t>
          </w:r>
          <w:r>
            <w:rPr>
              <w:bCs/>
            </w:rPr>
            <w:fldChar w:fldCharType="end"/>
          </w:r>
        </w:p>
        <w:p>
          <w:pPr>
            <w:pStyle w:val="74"/>
            <w:tabs>
              <w:tab w:val="right" w:leader="dot" w:pos="8306"/>
            </w:tabs>
          </w:pPr>
          <w:r>
            <w:rPr>
              <w:bCs/>
            </w:rPr>
            <w:fldChar w:fldCharType="begin"/>
          </w:r>
          <w:r>
            <w:rPr>
              <w:bCs/>
            </w:rPr>
            <w:instrText xml:space="preserve"> HYPERLINK \l _Toc4904 </w:instrText>
          </w:r>
          <w:r>
            <w:rPr>
              <w:bCs/>
            </w:rPr>
            <w:fldChar w:fldCharType="separate"/>
          </w:r>
          <w:r>
            <w:rPr>
              <w:rFonts w:hint="eastAsia" w:ascii="楷体" w:hAnsi="楷体" w:eastAsia="楷体"/>
              <w:szCs w:val="24"/>
            </w:rPr>
            <w:t>不锈钢：供应压力缓解，但弱需求压制上方空间</w:t>
          </w:r>
          <w:r>
            <w:rPr>
              <w:bCs/>
            </w:rPr>
            <w:fldChar w:fldCharType="end"/>
          </w:r>
        </w:p>
        <w:p>
          <w:pPr>
            <w:pStyle w:val="74"/>
            <w:tabs>
              <w:tab w:val="right" w:leader="dot" w:pos="8306"/>
            </w:tabs>
          </w:pPr>
          <w:r>
            <w:rPr>
              <w:bCs/>
            </w:rPr>
            <w:fldChar w:fldCharType="begin"/>
          </w:r>
          <w:r>
            <w:rPr>
              <w:bCs/>
            </w:rPr>
            <w:instrText xml:space="preserve"> HYPERLINK \l _Toc15929 </w:instrText>
          </w:r>
          <w:r>
            <w:rPr>
              <w:bCs/>
            </w:rPr>
            <w:fldChar w:fldCharType="separate"/>
          </w:r>
          <w:r>
            <w:rPr>
              <w:rFonts w:hint="eastAsia" w:ascii="楷体" w:hAnsi="楷体" w:eastAsia="楷体"/>
              <w:szCs w:val="24"/>
            </w:rPr>
            <w:t>工业硅：基本面维持宽松，反弹压力或仍存</w:t>
          </w:r>
          <w:r>
            <w:rPr>
              <w:bCs/>
            </w:rPr>
            <w:fldChar w:fldCharType="end"/>
          </w:r>
        </w:p>
        <w:p>
          <w:pPr>
            <w:pStyle w:val="59"/>
            <w:tabs>
              <w:tab w:val="right" w:leader="dot" w:pos="8306"/>
            </w:tabs>
          </w:pPr>
          <w:r>
            <w:rPr>
              <w:bCs/>
            </w:rPr>
            <w:fldChar w:fldCharType="begin"/>
          </w:r>
          <w:r>
            <w:rPr>
              <w:bCs/>
            </w:rPr>
            <w:instrText xml:space="preserve"> HYPERLINK \l _Toc18270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_Toc3799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供应逐步上量 天胶成本支撑继续减弱</w:t>
          </w:r>
          <w:r>
            <w:rPr>
              <w:bCs/>
            </w:rPr>
            <w:fldChar w:fldCharType="end"/>
          </w:r>
        </w:p>
        <w:p>
          <w:pPr>
            <w:pStyle w:val="74"/>
            <w:tabs>
              <w:tab w:val="right" w:leader="dot" w:pos="8306"/>
            </w:tabs>
          </w:pPr>
          <w:r>
            <w:rPr>
              <w:bCs/>
            </w:rPr>
            <w:fldChar w:fldCharType="begin"/>
          </w:r>
          <w:r>
            <w:rPr>
              <w:bCs/>
            </w:rPr>
            <w:instrText xml:space="preserve"> HYPERLINK \l _Toc18913 </w:instrText>
          </w:r>
          <w:r>
            <w:rPr>
              <w:bCs/>
            </w:rPr>
            <w:fldChar w:fldCharType="separate"/>
          </w:r>
          <w:r>
            <w:rPr>
              <w:rFonts w:hint="eastAsia" w:ascii="Times New Roman" w:hAnsi="Times New Roman" w:eastAsia="楷体"/>
              <w:szCs w:val="24"/>
            </w:rPr>
            <w:t>聚烯烃：需求迈入淡季 聚烯烃或延续震荡整理</w:t>
          </w:r>
          <w:r>
            <w:rPr>
              <w:bCs/>
            </w:rPr>
            <w:fldChar w:fldCharType="end"/>
          </w:r>
        </w:p>
        <w:p>
          <w:pPr>
            <w:pStyle w:val="74"/>
            <w:tabs>
              <w:tab w:val="right" w:leader="dot" w:pos="8306"/>
            </w:tabs>
          </w:pPr>
          <w:r>
            <w:rPr>
              <w:bCs/>
            </w:rPr>
            <w:fldChar w:fldCharType="begin"/>
          </w:r>
          <w:r>
            <w:rPr>
              <w:bCs/>
            </w:rPr>
            <w:instrText xml:space="preserve"> HYPERLINK \l _Toc30163 </w:instrText>
          </w:r>
          <w:r>
            <w:rPr>
              <w:bCs/>
            </w:rPr>
            <w:fldChar w:fldCharType="separate"/>
          </w:r>
          <w:r>
            <w:rPr>
              <w:rFonts w:hint="eastAsia" w:ascii="Times New Roman" w:hAnsi="Times New Roman" w:eastAsia="楷体"/>
              <w:szCs w:val="24"/>
            </w:rPr>
            <w:t>玻璃:</w:t>
          </w:r>
          <w:r>
            <w:rPr>
              <w:rFonts w:hint="eastAsia" w:ascii="Times New Roman" w:hAnsi="Times New Roman" w:eastAsia="楷体"/>
              <w:szCs w:val="24"/>
              <w:lang w:val="en-US" w:eastAsia="zh-CN"/>
            </w:rPr>
            <w:t xml:space="preserve"> </w:t>
          </w:r>
          <w:r>
            <w:rPr>
              <w:rFonts w:hint="eastAsia" w:ascii="Times New Roman" w:hAnsi="Times New Roman" w:eastAsia="楷体"/>
              <w:szCs w:val="24"/>
            </w:rPr>
            <w:t>期价反弹无力，基本面未有转好迹象</w:t>
          </w:r>
          <w:r>
            <w:rPr>
              <w:bCs/>
            </w:rPr>
            <w:fldChar w:fldCharType="end"/>
          </w:r>
        </w:p>
        <w:p>
          <w:pPr>
            <w:pStyle w:val="74"/>
            <w:tabs>
              <w:tab w:val="right" w:leader="dot" w:pos="8306"/>
            </w:tabs>
          </w:pPr>
          <w:r>
            <w:rPr>
              <w:bCs/>
            </w:rPr>
            <w:fldChar w:fldCharType="begin"/>
          </w:r>
          <w:r>
            <w:rPr>
              <w:bCs/>
            </w:rPr>
            <w:instrText xml:space="preserve"> HYPERLINK \l _Toc26240 </w:instrText>
          </w:r>
          <w:r>
            <w:rPr>
              <w:bCs/>
            </w:rPr>
            <w:fldChar w:fldCharType="separate"/>
          </w:r>
          <w:r>
            <w:rPr>
              <w:rFonts w:hint="eastAsia" w:ascii="Times New Roman" w:hAnsi="Times New Roman" w:eastAsia="楷体"/>
              <w:szCs w:val="24"/>
            </w:rPr>
            <w:t>纯碱：空头获利减仓，昨日反弹超30元/吨</w:t>
          </w:r>
          <w:r>
            <w:rPr>
              <w:bCs/>
            </w:rPr>
            <w:fldChar w:fldCharType="end"/>
          </w:r>
        </w:p>
        <w:p>
          <w:pPr>
            <w:pStyle w:val="59"/>
            <w:tabs>
              <w:tab w:val="right" w:leader="dot" w:pos="8306"/>
            </w:tabs>
          </w:pPr>
          <w:r>
            <w:rPr>
              <w:bCs/>
            </w:rPr>
            <w:fldChar w:fldCharType="begin"/>
          </w:r>
          <w:r>
            <w:rPr>
              <w:bCs/>
            </w:rPr>
            <w:instrText xml:space="preserve"> HYPERLINK \l _Toc21474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_Toc14001 </w:instrText>
          </w:r>
          <w:r>
            <w:rPr>
              <w:bCs/>
            </w:rPr>
            <w:fldChar w:fldCharType="separate"/>
          </w:r>
          <w:r>
            <w:rPr>
              <w:rFonts w:hint="eastAsia" w:ascii="楷体" w:hAnsi="楷体" w:eastAsia="楷体"/>
              <w:bCs/>
            </w:rPr>
            <w:t>玉米与淀粉：</w:t>
          </w:r>
          <w:r>
            <w:rPr>
              <w:rFonts w:hint="eastAsia" w:ascii="楷体" w:hAnsi="楷体" w:eastAsia="楷体"/>
            </w:rPr>
            <w:t>期价减仓下跌</w:t>
          </w:r>
          <w:r>
            <w:rPr>
              <w:bCs/>
            </w:rPr>
            <w:fldChar w:fldCharType="end"/>
          </w:r>
        </w:p>
        <w:p>
          <w:pPr>
            <w:pStyle w:val="74"/>
            <w:tabs>
              <w:tab w:val="right" w:leader="dot" w:pos="8306"/>
            </w:tabs>
          </w:pPr>
          <w:r>
            <w:rPr>
              <w:bCs/>
            </w:rPr>
            <w:fldChar w:fldCharType="begin"/>
          </w:r>
          <w:r>
            <w:rPr>
              <w:bCs/>
            </w:rPr>
            <w:instrText xml:space="preserve"> HYPERLINK \l _Toc4559 </w:instrText>
          </w:r>
          <w:r>
            <w:rPr>
              <w:bCs/>
            </w:rPr>
            <w:fldChar w:fldCharType="separate"/>
          </w:r>
          <w:r>
            <w:rPr>
              <w:rFonts w:hint="eastAsia" w:ascii="楷体" w:hAnsi="楷体" w:eastAsia="楷体"/>
              <w:bCs/>
            </w:rPr>
            <w:t>畜禽养殖：鸡蛋期价延续涨势</w:t>
          </w:r>
          <w:r>
            <w:rPr>
              <w:bCs/>
            </w:rPr>
            <w:fldChar w:fldCharType="end"/>
          </w:r>
        </w:p>
        <w:p>
          <w:pPr>
            <w:pStyle w:val="74"/>
            <w:tabs>
              <w:tab w:val="right" w:leader="dot" w:pos="8306"/>
            </w:tabs>
          </w:pPr>
          <w:r>
            <w:rPr>
              <w:bCs/>
            </w:rPr>
            <w:fldChar w:fldCharType="begin"/>
          </w:r>
          <w:r>
            <w:rPr>
              <w:bCs/>
            </w:rPr>
            <w:instrText xml:space="preserve"> HYPERLINK \l _Toc10368 </w:instrText>
          </w:r>
          <w:r>
            <w:rPr>
              <w:bCs/>
            </w:rPr>
            <w:fldChar w:fldCharType="separate"/>
          </w:r>
          <w:r>
            <w:rPr>
              <w:rFonts w:hint="eastAsia" w:ascii="楷体" w:hAnsi="楷体" w:eastAsia="楷体"/>
              <w:bCs/>
            </w:rPr>
            <w:t>白糖：巴西最新数据好转，期价下跌</w:t>
          </w:r>
          <w:r>
            <w:rPr>
              <w:bCs/>
            </w:rPr>
            <w:fldChar w:fldCharType="end"/>
          </w:r>
        </w:p>
        <w:p>
          <w:pPr>
            <w:pStyle w:val="74"/>
            <w:tabs>
              <w:tab w:val="right" w:leader="dot" w:pos="8306"/>
            </w:tabs>
          </w:pPr>
          <w:r>
            <w:rPr>
              <w:bCs/>
            </w:rPr>
            <w:fldChar w:fldCharType="begin"/>
          </w:r>
          <w:r>
            <w:rPr>
              <w:bCs/>
            </w:rPr>
            <w:instrText xml:space="preserve"> HYPERLINK \l _Toc5186 </w:instrText>
          </w:r>
          <w:r>
            <w:rPr>
              <w:bCs/>
            </w:rPr>
            <w:fldChar w:fldCharType="separate"/>
          </w:r>
          <w:r>
            <w:rPr>
              <w:rFonts w:hint="eastAsia" w:ascii="楷体" w:hAnsi="楷体" w:eastAsia="楷体"/>
              <w:bCs/>
            </w:rPr>
            <w:t>棉花：国内利空基本消化，但供应宽松期价仍承压</w:t>
          </w:r>
          <w:r>
            <w:rPr>
              <w:bCs/>
            </w:rPr>
            <w:fldChar w:fldCharType="end"/>
          </w:r>
        </w:p>
        <w:p>
          <w:pPr>
            <w:pStyle w:val="59"/>
            <w:tabs>
              <w:tab w:val="right" w:leader="dot" w:pos="8306"/>
            </w:tabs>
          </w:pPr>
          <w:r>
            <w:rPr>
              <w:bCs/>
            </w:rPr>
            <w:fldChar w:fldCharType="begin"/>
          </w:r>
          <w:r>
            <w:rPr>
              <w:bCs/>
            </w:rPr>
            <w:instrText xml:space="preserve"> HYPERLINK \l _Toc2477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_Toc26309 </w:instrText>
          </w:r>
          <w:r>
            <w:rPr>
              <w:bCs/>
            </w:rPr>
            <w:fldChar w:fldCharType="separate"/>
          </w:r>
          <w:r>
            <w:rPr>
              <w:rFonts w:hint="eastAsia" w:ascii="Times New Roman" w:hAnsi="Times New Roman" w:eastAsia="楷体"/>
              <w:szCs w:val="24"/>
            </w:rPr>
            <w:t>集运指数（欧线）：近月合约减仓回落，back结构收窄</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4630"/>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9444"/>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短线待做多信号更为明显再行入场</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昨日早盘中指研究院发布《2024上半年中国房地产企业销售业绩排行榜》，其中TOP100房企6月单月销售额同比下降19.55%，环比增长26.05%，均较5月份有所好转，地产板块有所异动。午后央行放出开展国债借入操作，维护利率稳定，国债市场大跌，A股中小盘指数水下拉升，整体来看，情绪助力大于实质。前期调整则使得A股性价比得到明显改善，且有利于悲观预期出清。近一周市场接连出现大资金维稳动作，加上大会召开在即，6月PMI继续回落，凸显政策加码必要性，资金有望提前入场博弈，改善市场流动性，投资者对7月行情仍可持有一定期待。但由于昨日仍为缩量上涨，短线投资者可等待更为明确的入场信号再行布局多单。</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1334"/>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27615"/>
      <w:r>
        <w:rPr>
          <w:rFonts w:hint="eastAsia" w:ascii="Times New Roman" w:hAnsi="Times New Roman" w:eastAsia="楷体"/>
          <w:b/>
          <w:color w:val="000000" w:themeColor="text1"/>
          <w:sz w:val="24"/>
          <w:szCs w:val="24"/>
          <w14:textFill>
            <w14:solidFill>
              <w14:schemeClr w14:val="tx1"/>
            </w14:solidFill>
          </w14:textFill>
        </w:rPr>
        <w:t>贵金属：美十债收益率上涨，贵金属价格窄幅震荡</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十年期美债收益率涨5.9个基点至4.468%，沪金涨0.04%至551.84元/克，沪银跌0.03%至7757元/千克。欧央行行长拉加德表示，没有足够的证据表明通胀威胁已经过去，需要时间评估通胀不确定性。欧元区6月制造业PMI终值为45.8，预期45.6，前值47.3。市场降息预期反复摇摆，短线观望为主。若联储年内启动降息，或仍对贵金属价格形成支撑，中长线维持偏多思路。</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3096"/>
      <w:bookmarkStart w:id="11" w:name="金属"/>
      <w:bookmarkStart w:id="12" w:name="_Toc20891"/>
      <w:bookmarkStart w:id="13" w:name="_Toc27994"/>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9109"/>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碳酸锂：07合约进入交割月，期价低开高走</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期价低开高走，主力11合约小幅低开后震荡上行，尾盘略微扩大涨幅，11合约涨1.54%至95650元/吨。仓单方面，昨日碳酸锂仓单增加99手，总量28543手。交割方面，07合约进入交割月，昨日完成配对6661手。周度库存方面，上游、下游及贸易商等中游环节均有所累库。碳酸锂供应稳定，最新周度产量维持增长，企业周度开工率小幅上升至约64%，正极材料企业订单有所下滑，下游需求较弱。现货交投寡淡，期价区间震荡，关注相关企业后续减停产情况，留意前低支撑。</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6247"/>
      <w:bookmarkStart w:id="19" w:name="_Toc8897"/>
      <w:bookmarkStart w:id="20" w:name="_Toc15628"/>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驱动有限，铝价保持低位区间震荡</w:t>
      </w:r>
      <w:bookmarkEnd w:id="2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PCE数据符合预期，市场通胀担忧情绪进一步减弱，联储官员频频鹰派发言，年内大幅降息可能性较低，国内存量房收购加速落实，地产消费仍有政策性利多。上游铝土矿内有复产外有扰动，氧化铝价格挺立，电解铝生产成本支撑坚挺，进口铝盈利窗口持续关闭，进口铝锭补充有限，国内电解铝运行产能持续走增，产量保持高位，淡季之下内需走弱，传统板块消费提振乏力，新能源板块消费增速放缓，海外出口需求旺盛，国内库存累库，国外库存去库。在电解铝运行产能高位的情况下，矿端供应紧缺情况虽有改善但仍未完全扭转，生产成本对铝价形成支撑，需求表现为内需淡季趋弱，外需依旧旺盛，铝价低位盘整上下有限，盘面情绪较弱，预计短期内宽幅震荡于19800-21000。</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14241"/>
      <w:r>
        <w:rPr>
          <w:rFonts w:hint="eastAsia" w:ascii="楷体" w:hAnsi="楷体" w:eastAsia="楷体"/>
          <w:b/>
          <w:color w:val="000000" w:themeColor="text1"/>
          <w:sz w:val="24"/>
          <w:szCs w:val="24"/>
          <w14:textFill>
            <w14:solidFill>
              <w14:schemeClr w14:val="tx1"/>
            </w14:solidFill>
          </w14:textFill>
        </w:rPr>
        <w:t>锌：锌价宽幅震荡整理</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PCE数据表现符合预期，联储年内降息预期进一步修正，宏观情绪支撑走弱，回归基本面因素引导。锌矿TC加工费低位，国内矿供应走增，精炼锌高产能运行情况下原料供应依旧偏紧，炼厂叠加副产品生产利润亏损，中游加工生产积极性较低，部分炼锌厂家有主动减产意向。锌矿及精炼锌进口补充有限。需求来看，传统基建、地产板块有国家利多政策扶植支持，消费淡季或有不淡表现，锌价预计宽幅震荡整理，参考震荡区间23000-25000，建议高抛低吸参与波段行情。</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16554"/>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：偏震荡为主</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(1)宏观：美国6月ISM制造业指数48.5，不及预期的49.1，5月前值为48.7。连续三个月萎缩，价格指数降幅创逾一年最大。</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(2)库存：7月1日，SHFE仓单库存251631吨，增2008吨；LME仓单库存180050吨，减2375吨。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(3)精废价差：7月1日，Mysteel精废价差966，收窄16。目前价差在合理价差1477之下。</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综述：宏观面，从近期经济数据看美国的经济增速下行明显，不利铜价，国内6月官方制造业PMI数据为 49.5，环比走平，显示经济还是偏弱稳的状态，关注政策发力所带来的三季度经济预期的改变。基本面，伴随铜价下跌， 精废价差明显收窄，市场上再生铜原料流通开始紧张，或再次引发对后期铜矿偏紧传导至冶炼端的预期，当前TC仍处历史极低值，限制价格继续下跌空间，但短期利多驱动有限，预计维持震荡为主，参考7.7-8万。</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4644"/>
      <w:r>
        <w:rPr>
          <w:rFonts w:hint="eastAsia" w:ascii="楷体" w:hAnsi="楷体" w:eastAsia="楷体"/>
          <w:b/>
          <w:color w:val="000000" w:themeColor="text1"/>
          <w:sz w:val="24"/>
          <w:szCs w:val="24"/>
          <w14:textFill>
            <w14:solidFill>
              <w14:schemeClr w14:val="tx1"/>
            </w14:solidFill>
          </w14:textFill>
        </w:rPr>
        <w:t>镍：缺乏反弹驱动，短期镍价或区间震荡</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6月中国财新PMI录得51.8，为2021年6月以来最高，边际提振市场情绪。原料方面，印尼镍矿流通资源仍偏紧；镍铁获矿端成本支撑，而下游不不锈钢厂降低排产，镍铁价格承压运行；硫酸镍生产成本下滑，加之三元材料厂家维持减产，预计硫酸镍价格弱势运行。供应方面，过剩格局持续，但由于国产精炼镍大量出口，国内精炼镍现货资源偏紧。需求方面，在镍价从流畅下跌转为窄幅震荡后，下游逢低补库情绪有所回落，而终端需求仍无亮点可循。综合而言，印尼镍矿RKAB审批加快带来的溢价也已经回吐，国内社库维持去库表明过剩格局未加剧，镍价下行受阻，但镍基本面仍偏弱，价格缺乏反弹驱动，预计在130000-140000元/吨区间震荡为主，关注印尼镍矿现货供应情况。</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4904"/>
      <w:r>
        <w:rPr>
          <w:rFonts w:hint="eastAsia" w:ascii="楷体" w:hAnsi="楷体" w:eastAsia="楷体"/>
          <w:b/>
          <w:color w:val="000000" w:themeColor="text1"/>
          <w:sz w:val="24"/>
          <w:szCs w:val="24"/>
          <w14:textFill>
            <w14:solidFill>
              <w14:schemeClr w14:val="tx1"/>
            </w14:solidFill>
          </w14:textFill>
        </w:rPr>
        <w:t>不锈钢：供应压力缓解，但弱需求压制上方空间</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镍铁方面，印尼镍矿在现货资源偏紧情况下报价维持坚挺，为镍铁提供成本支撑，而下游不锈钢需求不佳，镍铁价格承压运行，最新采购成交价为965元/镍（到厂含税）。 供应方面，不锈钢厂采取减产以缓解市场供应压力，据Mysteel统计，7月国内43家不锈钢厂粗钢产量316.55万吨，月环比下降9.58万吨。需求方面，下游备库积极性较低，市场成交氛围冷清，终端需求表现亦不佳。库存方面，钢厂控制发货节奏，社库维持去库，而仓单库存继续累积，处于历史绝对高位。综合而言，由于不锈钢厂降低排产，供需矛盾有所缓和，加上产业成本带来底部支撑，价格下方空间有限，但需求不佳持续压制价格上方空间，短期价格或呈震荡企稳态势。</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15929"/>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基本面维持宽松，反弹压力或仍存</w:t>
      </w:r>
      <w:bookmarkEnd w:id="25"/>
    </w:p>
    <w:p>
      <w:pPr>
        <w:ind w:left="630" w:leftChars="300"/>
        <w:rPr>
          <w:rFonts w:ascii="楷体" w:hAnsi="楷体" w:eastAsia="楷体"/>
          <w:sz w:val="24"/>
          <w:szCs w:val="24"/>
        </w:rPr>
      </w:pPr>
      <w:r>
        <w:rPr>
          <w:rFonts w:hint="eastAsia" w:ascii="楷体" w:hAnsi="楷体" w:eastAsia="楷体"/>
          <w:sz w:val="24"/>
          <w:szCs w:val="24"/>
        </w:rPr>
        <w:t>7月1日，Si2409主力合约有所反弹，收盘价11455元/吨，较上一收盘价涨跌幅+0.31%。从基本面来看，下游需求持续低迷，近期盘面大幅下跌情况下，下游并未出现明显主动采购行为，同时供应维持高位，且西南复产确定性较强，供应后续仍有进一步增加预期，基本面宽松格局较难扭转，预计盘面反弹压力仍存。策略上，建议可尝试逢高做空机会。</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18270"/>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3799"/>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供应逐步上量 天胶成本支撑继续减弱</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点评：昨日天然橡胶主力合约大幅回落。目前看，全球产区降水预期偏强，中长期对割胶工作有利，总供应上量预期明显，目前原料价格有所下滑，产量拐点仍需进一步观察。国内云南产区干旱问题有所缓解，胶水价格居高维稳。据当地胶农反映，目前产区橡胶林长势正常。需求端来看，下游轮胎企业开工率高位维持，半钢胎在海外出口需求旺盛下，开工率高位持稳，对原料补库积极性提高，提振天胶消费。全钢胎消费则令人堪忧，因整体需求偏弱，各企业成品库存表现不一，后期不排除个别企业会出现生产降速的可能性。终端汽车方面，6月车企优惠政策延续。根据工信部最新公布的新车上市名录里面可以看到，多家车企的新车型与换代车型将于近期发售，亦将刺激未来汽车销售增长预期。整体看，近期海外原料价格回落，对胶价底部支撑减弱。但中长线来看，全年天然橡胶依旧处于供小于求的供需格局，建议待回调到位后关注逢低做多的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29" w:name="_Toc18913"/>
      <w:r>
        <w:rPr>
          <w:rFonts w:hint="eastAsia" w:ascii="Times New Roman" w:hAnsi="Times New Roman" w:eastAsia="楷体"/>
          <w:b/>
          <w:color w:val="000000" w:themeColor="text1"/>
          <w:sz w:val="24"/>
          <w:szCs w:val="24"/>
          <w14:textFill>
            <w14:solidFill>
              <w14:schemeClr w14:val="tx1"/>
            </w14:solidFill>
          </w14:textFill>
        </w:rPr>
        <w:t>聚烯烃：需求迈入淡季 聚烯烃或延续震荡整理</w:t>
      </w:r>
      <w:bookmarkEnd w:id="29"/>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目前聚烯烃仍处于石化厂检修季节，供应端减量，石化库存中性偏高，开工负荷均处于低位，装置检修损失量较高。但聚烯烃整体下游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6月份聚烯烃供需格局有继续走弱的预期，主要是供应端后期检修装置减少，供应环比增加，下半年还有新装置投产的预期，其中PP表现的更加明显。</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0" w:name="_Toc30163"/>
      <w:r>
        <w:rPr>
          <w:rFonts w:hint="eastAsia" w:ascii="Times New Roman" w:hAnsi="Times New Roman" w:eastAsia="楷体"/>
          <w:b/>
          <w:color w:val="000000" w:themeColor="text1"/>
          <w:sz w:val="24"/>
          <w:szCs w:val="24"/>
          <w14:textFill>
            <w14:solidFill>
              <w14:schemeClr w14:val="tx1"/>
            </w14:solidFill>
          </w14:textFill>
        </w:rPr>
        <w:t>玻璃:</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楷体"/>
          <w:b/>
          <w:color w:val="000000" w:themeColor="text1"/>
          <w:sz w:val="24"/>
          <w:szCs w:val="24"/>
          <w14:textFill>
            <w14:solidFill>
              <w14:schemeClr w14:val="tx1"/>
            </w14:solidFill>
          </w14:textFill>
        </w:rPr>
        <w:t>期价反弹无力，基本面未有转好迹象</w:t>
      </w:r>
      <w:bookmarkEnd w:id="30"/>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盘面上看，玻璃夜盘收盘价为1545元/吨，轻微反弹后继无力。现货方面，浮法玻璃河北沙河大板现货维持1472元/吨低位。库存方面，玻璃在产企业总库存为5982.7万重量箱，环比上周上升169万重量箱（2.91%）。5月地产数据延续低迷态势，竣工和销售累计增速依然疲软。政策出台后，二手房成交有好转，但近期二手房再次出现一定降温。新房销售差，地产资金压力依然较大，对竣工的兑现会有牵制。加工订单方面，原片价格上涨未成功传导至下游，加工厂利润压缩，下游订单环比走弱。</w:t>
      </w:r>
    </w:p>
    <w:p>
      <w:pPr>
        <w:ind w:left="630" w:leftChars="300"/>
        <w:rPr>
          <w:rFonts w:hint="eastAsia" w:ascii="楷体" w:hAnsi="楷体" w:eastAsia="楷体"/>
          <w:sz w:val="24"/>
          <w:szCs w:val="24"/>
        </w:rPr>
      </w:pPr>
      <w:r>
        <w:rPr>
          <w:rFonts w:hint="eastAsia" w:ascii="楷体" w:hAnsi="楷体" w:eastAsia="楷体"/>
          <w:sz w:val="24"/>
          <w:szCs w:val="24"/>
        </w:rPr>
        <w:t>总体来看，6月市场情绪回落，叠加地产数据打压期货盘面，前期政策利多因素消化后玻璃期货转为交易现实。库存本周大幅上升，期价受压，短期内预计持续偏弱建议观望。</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1" w:name="_Toc26240"/>
      <w:r>
        <w:rPr>
          <w:rFonts w:hint="eastAsia" w:ascii="Times New Roman" w:hAnsi="Times New Roman" w:eastAsia="楷体"/>
          <w:b/>
          <w:color w:val="000000" w:themeColor="text1"/>
          <w:sz w:val="24"/>
          <w:szCs w:val="24"/>
          <w14:textFill>
            <w14:solidFill>
              <w14:schemeClr w14:val="tx1"/>
            </w14:solidFill>
          </w14:textFill>
        </w:rPr>
        <w:t>纯碱：空头获利减仓，昨日反弹超30元/吨</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盘面来看，夜盘纯碱主力合约收盘2058元/吨，本日出现反弹。现货来看，今日国内价格保持稳定；随着前期检修企业恢复生产，纯碱供应将有所增加；部分厂家库存增加，纯碱市场偏弱运行。</w:t>
      </w:r>
    </w:p>
    <w:p>
      <w:pPr>
        <w:ind w:left="630" w:leftChars="300"/>
        <w:rPr>
          <w:rFonts w:hint="eastAsia" w:ascii="楷体" w:hAnsi="楷体" w:eastAsia="楷体"/>
          <w:sz w:val="24"/>
          <w:szCs w:val="24"/>
        </w:rPr>
      </w:pPr>
      <w:r>
        <w:rPr>
          <w:rFonts w:hint="eastAsia" w:ascii="楷体" w:hAnsi="楷体" w:eastAsia="楷体"/>
          <w:sz w:val="24"/>
          <w:szCs w:val="24"/>
        </w:rPr>
        <w:t>基本面，本周纯碱行业开工约89.18%，环比上升2.9%。在需求端，玻璃行业等主要下游市场的需求呈现疲软态势。特别是轻碱市场需求明显下滑，出货难度增加，成交活跃度在低价位时有所提升，但面对高价时却存在明显的抵触情绪。这种需求不振的状况使得整体市场信心进一步受到打击。另外，5.17房地产新政发布之后，楼市尚未出现明显回暖，各线城市房价仍处于环比下降。</w:t>
      </w:r>
    </w:p>
    <w:p>
      <w:pPr>
        <w:ind w:left="630" w:leftChars="300"/>
        <w:rPr>
          <w:rFonts w:ascii="楷体" w:hAnsi="楷体" w:eastAsia="楷体"/>
          <w:sz w:val="24"/>
          <w:szCs w:val="24"/>
        </w:rPr>
      </w:pPr>
      <w:r>
        <w:rPr>
          <w:rFonts w:hint="eastAsia" w:ascii="楷体" w:hAnsi="楷体" w:eastAsia="楷体"/>
          <w:sz w:val="24"/>
          <w:szCs w:val="24"/>
        </w:rPr>
        <w:t>目前，虽然今日有所反弹，但基本面并未呈现转折迹象，上周基本面边际好转后的反弹行情并未出现驱动承接，短期预计纯碱现货价格偏弱，后市仍需主要关注供应端变动情况。</w:t>
      </w:r>
    </w:p>
    <w:p>
      <w:pPr>
        <w:rPr>
          <w:rFonts w:hint="eastAsia" w:ascii="楷体" w:hAnsi="楷体" w:eastAsia="楷体"/>
          <w:color w:val="000000" w:themeColor="text1"/>
          <w:sz w:val="24"/>
          <w:szCs w:val="24"/>
          <w14:textFill>
            <w14:solidFill>
              <w14:schemeClr w14:val="tx1"/>
            </w14:solidFill>
          </w14:textFill>
        </w:rPr>
      </w:pP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2" w:name="_Toc21474"/>
      <w:r>
        <w:rPr>
          <w:rFonts w:hint="eastAsia" w:ascii="Times New Roman" w:hAnsi="Times New Roman" w:eastAsia="楷体"/>
          <w:b/>
          <w:color w:val="823C0B"/>
          <w:sz w:val="30"/>
          <w:szCs w:val="30"/>
        </w:rPr>
        <w:t>[农产品]</w:t>
      </w:r>
      <w:bookmarkEnd w:id="14"/>
      <w:bookmarkEnd w:id="32"/>
    </w:p>
    <w:p>
      <w:pPr>
        <w:pStyle w:val="93"/>
        <w:spacing w:before="60" w:beforeAutospacing="0" w:after="60" w:afterAutospacing="0"/>
        <w:ind w:left="420" w:leftChars="200"/>
        <w:outlineLvl w:val="1"/>
        <w:rPr>
          <w:rFonts w:ascii="楷体" w:hAnsi="楷体" w:eastAsia="楷体"/>
          <w:b/>
        </w:rPr>
      </w:pPr>
      <w:bookmarkStart w:id="33" w:name="_Toc14001"/>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期价减仓下跌</w:t>
      </w:r>
      <w:bookmarkEnd w:id="3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由于华北产区和南方销区对东北产区和北方港口依然严重倒挂，东北产区高价往下游传导问题依然是市场担忧所在，在陈稻抛储担忧有所缓解后，市场在这两个方向上仍不甚明朗，南方销区主要源于内外价差拉大，而华北产区则主要在于小麦压制。我们虽倾向于国内玉米产需缺口逐步显现有望带动期现货上涨，但考虑到当前期价更贴近北方港口甚至东北产区现货价格，仍需要现货特别是华北产区和南方销区上涨来实现正向反馈。综上所述，我们维持谨慎看多观点，建议投资者持有前期多单。</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虽近期淀粉-玉米价差略有收窄，但我们倾向于认为淀粉-玉米价差仍有望阶段性走扩，主要原因有三，其一是外盘美豆弱势有望通过国内蛋白粕带动国内副产品价格维持低位；其二是下游行业季节性需求旺季有望带动行业供需阶段性改善；其三是华北小麦饲用替代量不及预期有望带动华北-东北玉米价差继续走扩，继而抬高华北淀粉生产成本。综上所述，我们维持谨慎看多观点，建议投资者持有前期单边多单及淀粉-玉米价差走扩套利。</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4" w:name="_Toc4559"/>
      <w:r>
        <w:rPr>
          <w:rFonts w:hint="eastAsia" w:ascii="楷体" w:hAnsi="楷体" w:eastAsia="楷体"/>
          <w:b/>
          <w:bCs/>
          <w:color w:val="000000" w:themeColor="text1"/>
          <w14:textFill>
            <w14:solidFill>
              <w14:schemeClr w14:val="tx1"/>
            </w14:solidFill>
          </w14:textFill>
        </w:rPr>
        <w:t>畜禽养殖：鸡蛋期价延续涨势</w:t>
      </w:r>
      <w:bookmarkEnd w:id="3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市场基于生猪和能繁母猪存栏下滑，合理预计接下来直至四季度生猪出栏量环比与同比下滑，但由于生产效率（如配种分娩率对冲产能去化的影响）、饲料成本（相同养殖利润下生猪绝对价格下滑）和生猪出栏体重（在一定程度上对冲出栏量下降对猪肉供应量的影响）等因素，在一定程度上使得市场对猪价高点预期弱于2022年。五月以来的现货上涨过程中，养殖户有压栏情况且二次育肥积极入场，导致出栏量持续环比下降，宰后均重上升，现货表现强势，但市场担心供应后移其实不利于后期期现货表现，甚至担心端午节需求释放之后现货或出现回落，这体现在期价特别是近月深度贴水现货上。六月中旬以来现货逐步转弱，主要源于猪价高企对需求的压制及其气温上升对压栏/二次育肥的影响。值得留意的是，如果市场能阶段性出栏带动体重下降，反而有利于后期猪价上涨，因从新生仔猪数量推算，三季度生猪出栏数量仍将继续环比下滑。据此我们维持谨慎看多观点，建议投资者持有前期2409合约多单，还可以考虑正套操作。</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虽然鸡蛋现货阶段性上涨，如五月中以来的鸡蛋现货超预期上涨，可以通过需求端增量即南方持续降雨带来蔬菜缺口继而催生鸡蛋阶段性补库来解释，但今年年后以来现货整体表现强于预期，应该更多源于供应端的因素，这可能源于春节前后补栏积极性下降而淘汰积极性上升，因当时蛋鸡苗价格处于历史低位，而多家机构数据均显示去年底以来蛋鸡淘汰量同比大幅增加。这样的供需格局认知下，市场利多因素在于渠道库存偏低，因前期市场普遍认为供需过剩而存在看跌心理。而参考季节性规律来看，端午节后低点或已经出现，接下来有望进入季节性上涨阶段，我们倾向于现货有望实现甚至超过往年的季节性涨幅水平，这对应在近月合约，特别是旺季合约上。当然，由于现货价格带动养殖利润高企，这使得近期及其接下来补栏积极性回升，而淘汰积极性大幅下降，这使得后期供需有望趋于宽松，这对应在远期合约上。综上所述，我们维持谨慎看多观点，建议投资者持有旺季合约多单，亦可以考虑轻仓正套操作。</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5" w:name="_Toc10368"/>
      <w:r>
        <w:rPr>
          <w:rFonts w:hint="eastAsia" w:ascii="楷体" w:hAnsi="楷体" w:eastAsia="楷体"/>
          <w:b/>
          <w:bCs/>
          <w:color w:val="000000" w:themeColor="text1"/>
          <w14:textFill>
            <w14:solidFill>
              <w14:schemeClr w14:val="tx1"/>
            </w14:solidFill>
          </w14:textFill>
        </w:rPr>
        <w:t>白糖：巴西最新数据好转，期价下跌</w:t>
      </w:r>
      <w:bookmarkEnd w:id="3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纽约原糖主力合约和伦敦白砂糖主力合约下跌0.64%和2.46%，两者跌幅差距较大。UNICA公布巴西6月上半月数据：6月上半月巴西产糖312万吨，高于标普全球预测的292万吨，同比增加21%；甘蔗压榨量4900万吨，高于预测的4620万吨，同比增长20.48%。截至6月16日，巴西中南部24/25榨季累计压榨甘蔗1.89亿吨，同比增加13.25%，累计产糖1095万吨，同比增加14.42%，累计产乙醇87.1亿升，同比增加12.24%；糖厂使用48.38%的甘蔗比例产糖，上榨季同期为47.24%。国内昨日夜盘白糖主力合约下跌0.21%。目前国内较高的基差对糖价有所支撑，但供应宽松依旧使期价偏弱，预计期价震荡运行，暂观望。</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6" w:name="_Toc5186"/>
      <w:r>
        <w:rPr>
          <w:rFonts w:hint="eastAsia" w:ascii="楷体" w:hAnsi="楷体" w:eastAsia="楷体"/>
          <w:b/>
          <w:bCs/>
          <w:color w:val="000000" w:themeColor="text1"/>
          <w14:textFill>
            <w14:solidFill>
              <w14:schemeClr w14:val="tx1"/>
            </w14:solidFill>
          </w14:textFill>
        </w:rPr>
        <w:t>棉花：国内利空基本消化，但供应宽松期价仍承压</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美棉上涨0.62%。截止2024年6月30日当周，美棉种植率为97%，略低于去年同期及五年均值。美棉优良率为50%，较上一周下调6%，但已经高于去年同期。此外，美棉出口数据不佳，棉价总体来看偏弱运行。昨日国内夜盘棉花和棉纱主力合约上涨0.99%和1.00%。目前利空情绪基本释放完毕，棉价呈反弹之势，但国内基本面并未出现明显支撑，依然呈现供应宽松而需求偏弱的态势。目前淡季特征明显，纺企仅低位少量采购，因此上方反弹空间比较有限，暂观望。</w:t>
      </w:r>
    </w:p>
    <w:p>
      <w:pPr>
        <w:pStyle w:val="93"/>
        <w:spacing w:before="0" w:beforeAutospacing="0" w:after="60" w:afterAutospacing="0"/>
        <w:ind w:left="630" w:leftChars="30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37" w:name="_Toc2477"/>
      <w:r>
        <w:rPr>
          <w:rFonts w:hint="eastAsia" w:ascii="Times New Roman" w:hAnsi="Times New Roman" w:eastAsia="楷体"/>
          <w:b/>
          <w:color w:val="823C0B"/>
          <w:sz w:val="30"/>
          <w:szCs w:val="30"/>
        </w:rPr>
        <w:t>[指数]</w:t>
      </w:r>
      <w:bookmarkEnd w:id="3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38" w:name="_Toc26309"/>
      <w:r>
        <w:rPr>
          <w:rFonts w:hint="eastAsia" w:ascii="Times New Roman" w:hAnsi="Times New Roman" w:eastAsia="楷体"/>
          <w:b/>
          <w:color w:val="000000" w:themeColor="text1"/>
          <w:sz w:val="24"/>
          <w:szCs w:val="24"/>
          <w14:textFill>
            <w14:solidFill>
              <w14:schemeClr w14:val="tx1"/>
            </w14:solidFill>
          </w14:textFill>
        </w:rPr>
        <w:t>集运指数（欧线）：近月合约减仓回落，back结构收窄</w:t>
      </w:r>
      <w:bookmarkEnd w:id="38"/>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现货方面，6月24日，上海港出口至欧洲基本港市场运价（SCFI欧线）为4336美元/TEU，较上期上涨3.8%，保持上涨势头。6月24日盘后公布，SCFIS欧线最新为4765.87点，环比上涨1.65%，实际结算运价有所支撑。</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供应端来看，随着旺季出货需求提升，三大联盟在欧线新增了合计周均运力1.8万TEU，相当于当前欧线运力的6%，以满足需求并提高收益。尽管船司面临船舶无法按时返回上海港导致的被动空班情况，但运费仍将维持高位，而港口拥堵虽有发生但未形成连锁反应。</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另外，船司们继续提价支撑近月合约：马士基开放第27周试舱价格，其中上海——安特卫普开舱价格大柜8000美金，对应SCFIS股指在5400点左右。</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端来看，据欧洲经济研究所(ZEW)发布的数据显示，欧元区6月ZEW经济景气指数为51.3，好于市场预期及前值，创2021年7月以来的新高，数据显示欧洲经济继续保持平稳增长，有利于对欧洲航线的运输需求起到支撑作用。</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总体来看，近月合约在创出高位后出现多头减仓现象稍稍回落，远月合约不确定性较强，波动更大，建议投资者谨慎操作。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9" w:name="_Toc19667"/>
      <w:bookmarkStart w:id="40" w:name="_Toc12779"/>
      <w:bookmarkStart w:id="41" w:name="_Toc71212556"/>
      <w:bookmarkStart w:id="42" w:name="_Toc72481108"/>
      <w:bookmarkStart w:id="43" w:name="_Toc98426751"/>
      <w:r>
        <w:rPr>
          <w:rFonts w:ascii="Times New Roman" w:hAnsi="Times New Roman" w:eastAsia="楷体"/>
          <w:b/>
          <w:color w:val="411D05"/>
          <w:sz w:val="30"/>
          <w:szCs w:val="30"/>
        </w:rPr>
        <w:t>免责声明</w:t>
      </w:r>
      <w:bookmarkEnd w:id="39"/>
      <w:bookmarkEnd w:id="40"/>
      <w:bookmarkEnd w:id="41"/>
      <w:bookmarkEnd w:id="42"/>
      <w:bookmarkEnd w:id="43"/>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2024年7月2日星期二</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3A507DC"/>
    <w:rsid w:val="04C17862"/>
    <w:rsid w:val="04E41B77"/>
    <w:rsid w:val="057D13AE"/>
    <w:rsid w:val="064116B8"/>
    <w:rsid w:val="064A667C"/>
    <w:rsid w:val="06B2613D"/>
    <w:rsid w:val="06B753E3"/>
    <w:rsid w:val="07321D04"/>
    <w:rsid w:val="08A51999"/>
    <w:rsid w:val="09B849A4"/>
    <w:rsid w:val="09F160E3"/>
    <w:rsid w:val="0AC64130"/>
    <w:rsid w:val="0B42525D"/>
    <w:rsid w:val="0BF11AD7"/>
    <w:rsid w:val="0C1F7DEE"/>
    <w:rsid w:val="0C88769D"/>
    <w:rsid w:val="0CDE660D"/>
    <w:rsid w:val="0D032A7C"/>
    <w:rsid w:val="0DB77106"/>
    <w:rsid w:val="0E955A36"/>
    <w:rsid w:val="0F662138"/>
    <w:rsid w:val="0F9B0CE9"/>
    <w:rsid w:val="0FF35275"/>
    <w:rsid w:val="100732C8"/>
    <w:rsid w:val="10DA6205"/>
    <w:rsid w:val="10E86139"/>
    <w:rsid w:val="111441F0"/>
    <w:rsid w:val="113D3FD2"/>
    <w:rsid w:val="121F7D21"/>
    <w:rsid w:val="129B2E20"/>
    <w:rsid w:val="12AA5DF8"/>
    <w:rsid w:val="132A04C1"/>
    <w:rsid w:val="1330029C"/>
    <w:rsid w:val="134E6356"/>
    <w:rsid w:val="13AE24B4"/>
    <w:rsid w:val="14D51A3C"/>
    <w:rsid w:val="15364A7C"/>
    <w:rsid w:val="15602ADB"/>
    <w:rsid w:val="15947E4C"/>
    <w:rsid w:val="15D52593"/>
    <w:rsid w:val="1626611D"/>
    <w:rsid w:val="16E2497F"/>
    <w:rsid w:val="17A736B0"/>
    <w:rsid w:val="197E6634"/>
    <w:rsid w:val="1B8A2034"/>
    <w:rsid w:val="1BC72FF7"/>
    <w:rsid w:val="1D03226A"/>
    <w:rsid w:val="1D5030CD"/>
    <w:rsid w:val="1D876087"/>
    <w:rsid w:val="1DFF64E4"/>
    <w:rsid w:val="1ECB51CD"/>
    <w:rsid w:val="1F515CF1"/>
    <w:rsid w:val="1FBD6B68"/>
    <w:rsid w:val="1FDC1B35"/>
    <w:rsid w:val="1FDD0CDB"/>
    <w:rsid w:val="2056595D"/>
    <w:rsid w:val="20AE4DE8"/>
    <w:rsid w:val="21194658"/>
    <w:rsid w:val="216834DE"/>
    <w:rsid w:val="21996AC1"/>
    <w:rsid w:val="219F3EE2"/>
    <w:rsid w:val="21F57098"/>
    <w:rsid w:val="22BA3902"/>
    <w:rsid w:val="22BB5089"/>
    <w:rsid w:val="22EF0361"/>
    <w:rsid w:val="23D146B7"/>
    <w:rsid w:val="240817CF"/>
    <w:rsid w:val="24321B2E"/>
    <w:rsid w:val="244B21DE"/>
    <w:rsid w:val="245C7DFE"/>
    <w:rsid w:val="247F3074"/>
    <w:rsid w:val="24B82D9D"/>
    <w:rsid w:val="251328EC"/>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FA14A50"/>
    <w:rsid w:val="2FA70F17"/>
    <w:rsid w:val="30CB447B"/>
    <w:rsid w:val="32951C0D"/>
    <w:rsid w:val="32F131F1"/>
    <w:rsid w:val="33CE5AF4"/>
    <w:rsid w:val="340E7198"/>
    <w:rsid w:val="34A75784"/>
    <w:rsid w:val="3581551C"/>
    <w:rsid w:val="35D65FDD"/>
    <w:rsid w:val="36C14F46"/>
    <w:rsid w:val="36C44D71"/>
    <w:rsid w:val="373F75CC"/>
    <w:rsid w:val="37C101D4"/>
    <w:rsid w:val="38F320AA"/>
    <w:rsid w:val="38FB27F3"/>
    <w:rsid w:val="39584559"/>
    <w:rsid w:val="399D40A5"/>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E419C"/>
    <w:rsid w:val="3EFE09FD"/>
    <w:rsid w:val="3F032E01"/>
    <w:rsid w:val="3F345DBE"/>
    <w:rsid w:val="40164730"/>
    <w:rsid w:val="40F15753"/>
    <w:rsid w:val="41F950F8"/>
    <w:rsid w:val="42EB3BA1"/>
    <w:rsid w:val="42F51780"/>
    <w:rsid w:val="43F11831"/>
    <w:rsid w:val="43F63E0D"/>
    <w:rsid w:val="44092E2E"/>
    <w:rsid w:val="441077D2"/>
    <w:rsid w:val="44396064"/>
    <w:rsid w:val="458C38B3"/>
    <w:rsid w:val="459609D9"/>
    <w:rsid w:val="45A37566"/>
    <w:rsid w:val="45CF0A85"/>
    <w:rsid w:val="46194A11"/>
    <w:rsid w:val="461E2AF1"/>
    <w:rsid w:val="47752ACA"/>
    <w:rsid w:val="47A71483"/>
    <w:rsid w:val="47C813F2"/>
    <w:rsid w:val="48352178"/>
    <w:rsid w:val="489B63EF"/>
    <w:rsid w:val="48D7317F"/>
    <w:rsid w:val="4953255E"/>
    <w:rsid w:val="49BF13F0"/>
    <w:rsid w:val="49D75468"/>
    <w:rsid w:val="49E169F0"/>
    <w:rsid w:val="4A4A74EF"/>
    <w:rsid w:val="4A6F6249"/>
    <w:rsid w:val="4AA77B51"/>
    <w:rsid w:val="4AB74C38"/>
    <w:rsid w:val="4B14426D"/>
    <w:rsid w:val="4B6224E5"/>
    <w:rsid w:val="4B8C4A56"/>
    <w:rsid w:val="4BF97936"/>
    <w:rsid w:val="4C2C4D07"/>
    <w:rsid w:val="4C457E30"/>
    <w:rsid w:val="4CAC2FB1"/>
    <w:rsid w:val="4D2A3925"/>
    <w:rsid w:val="4D597189"/>
    <w:rsid w:val="4DB20386"/>
    <w:rsid w:val="4DF02D90"/>
    <w:rsid w:val="4E665CB5"/>
    <w:rsid w:val="4F271764"/>
    <w:rsid w:val="4F7D0512"/>
    <w:rsid w:val="4FBA2B77"/>
    <w:rsid w:val="4FD46E6F"/>
    <w:rsid w:val="5005695E"/>
    <w:rsid w:val="50286811"/>
    <w:rsid w:val="51266B84"/>
    <w:rsid w:val="51642661"/>
    <w:rsid w:val="5191036A"/>
    <w:rsid w:val="546B5509"/>
    <w:rsid w:val="548642E9"/>
    <w:rsid w:val="54C12E33"/>
    <w:rsid w:val="55633225"/>
    <w:rsid w:val="556D6DC3"/>
    <w:rsid w:val="563B25E1"/>
    <w:rsid w:val="56DD4D3A"/>
    <w:rsid w:val="57555A7B"/>
    <w:rsid w:val="5770382C"/>
    <w:rsid w:val="57846909"/>
    <w:rsid w:val="57CB522F"/>
    <w:rsid w:val="57F46FBE"/>
    <w:rsid w:val="58042686"/>
    <w:rsid w:val="58246D5D"/>
    <w:rsid w:val="58EC5960"/>
    <w:rsid w:val="58F400B4"/>
    <w:rsid w:val="59151C86"/>
    <w:rsid w:val="59C52328"/>
    <w:rsid w:val="5AD37D8A"/>
    <w:rsid w:val="5AF87BF9"/>
    <w:rsid w:val="5B906095"/>
    <w:rsid w:val="5BF60A75"/>
    <w:rsid w:val="5C813B75"/>
    <w:rsid w:val="5C9F2D01"/>
    <w:rsid w:val="5D3F3466"/>
    <w:rsid w:val="5D5617A6"/>
    <w:rsid w:val="5D716329"/>
    <w:rsid w:val="5EA23F15"/>
    <w:rsid w:val="5EA7685B"/>
    <w:rsid w:val="5ED40954"/>
    <w:rsid w:val="5EFA4E95"/>
    <w:rsid w:val="60BE22C5"/>
    <w:rsid w:val="612C30C5"/>
    <w:rsid w:val="619A2BBF"/>
    <w:rsid w:val="61DF02D0"/>
    <w:rsid w:val="62710E5F"/>
    <w:rsid w:val="63735B47"/>
    <w:rsid w:val="63FF1EA7"/>
    <w:rsid w:val="64C32497"/>
    <w:rsid w:val="669D0EEA"/>
    <w:rsid w:val="66B64FC1"/>
    <w:rsid w:val="66C861F9"/>
    <w:rsid w:val="66D04BBC"/>
    <w:rsid w:val="67655BF9"/>
    <w:rsid w:val="67C6389B"/>
    <w:rsid w:val="685D4EEE"/>
    <w:rsid w:val="68AE1587"/>
    <w:rsid w:val="68D53E8D"/>
    <w:rsid w:val="699C76C5"/>
    <w:rsid w:val="6A194855"/>
    <w:rsid w:val="6A2F056E"/>
    <w:rsid w:val="6B292599"/>
    <w:rsid w:val="6D9172E5"/>
    <w:rsid w:val="6DF1703F"/>
    <w:rsid w:val="6E133456"/>
    <w:rsid w:val="6ECB7DD2"/>
    <w:rsid w:val="6F123DD8"/>
    <w:rsid w:val="6F1E315D"/>
    <w:rsid w:val="6F79454F"/>
    <w:rsid w:val="6FE61065"/>
    <w:rsid w:val="70675779"/>
    <w:rsid w:val="70C135EC"/>
    <w:rsid w:val="712C7DE8"/>
    <w:rsid w:val="713E0334"/>
    <w:rsid w:val="716F5E64"/>
    <w:rsid w:val="72417AFE"/>
    <w:rsid w:val="729B5F03"/>
    <w:rsid w:val="72D92B78"/>
    <w:rsid w:val="72F62A89"/>
    <w:rsid w:val="731B289D"/>
    <w:rsid w:val="736D22BA"/>
    <w:rsid w:val="737357AF"/>
    <w:rsid w:val="74163BE4"/>
    <w:rsid w:val="74A928A6"/>
    <w:rsid w:val="75292EAC"/>
    <w:rsid w:val="755A5FEF"/>
    <w:rsid w:val="75775016"/>
    <w:rsid w:val="758E0106"/>
    <w:rsid w:val="7626762C"/>
    <w:rsid w:val="763869A4"/>
    <w:rsid w:val="7667781E"/>
    <w:rsid w:val="778F5135"/>
    <w:rsid w:val="77B53D6B"/>
    <w:rsid w:val="77D54B08"/>
    <w:rsid w:val="78431DDA"/>
    <w:rsid w:val="784F7772"/>
    <w:rsid w:val="785868AD"/>
    <w:rsid w:val="78713929"/>
    <w:rsid w:val="78E55995"/>
    <w:rsid w:val="79267C0B"/>
    <w:rsid w:val="793F61E8"/>
    <w:rsid w:val="79C90FB7"/>
    <w:rsid w:val="7A25684F"/>
    <w:rsid w:val="7A4975BA"/>
    <w:rsid w:val="7A5B105F"/>
    <w:rsid w:val="7A9E5DA7"/>
    <w:rsid w:val="7ABE4B56"/>
    <w:rsid w:val="7B264F79"/>
    <w:rsid w:val="7B3E5659"/>
    <w:rsid w:val="7B4D21AB"/>
    <w:rsid w:val="7BCC4162"/>
    <w:rsid w:val="7C490DB7"/>
    <w:rsid w:val="7C7E37F7"/>
    <w:rsid w:val="7CD80967"/>
    <w:rsid w:val="7D0C2828"/>
    <w:rsid w:val="7D902239"/>
    <w:rsid w:val="7EAF7817"/>
    <w:rsid w:val="7F78012E"/>
    <w:rsid w:val="7F7B591C"/>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2024-07-02T02:12:53Z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