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_Toc31565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_Toc13292 </w:instrText>
          </w:r>
          <w:r>
            <w:rPr>
              <w:bCs/>
            </w:rPr>
            <w:fldChar w:fldCharType="separate"/>
          </w:r>
          <w:r>
            <w:rPr>
              <w:rFonts w:hint="eastAsia" w:ascii="Times New Roman" w:hAnsi="Times New Roman" w:eastAsia="楷体"/>
              <w:szCs w:val="24"/>
            </w:rPr>
            <w:t>股指：短期观望，待企稳后低多IF</w:t>
          </w:r>
          <w:r>
            <w:rPr>
              <w:bCs/>
            </w:rPr>
            <w:fldChar w:fldCharType="end"/>
          </w:r>
        </w:p>
        <w:p>
          <w:pPr>
            <w:pStyle w:val="59"/>
            <w:tabs>
              <w:tab w:val="right" w:leader="dot" w:pos="8306"/>
            </w:tabs>
          </w:pPr>
          <w:r>
            <w:rPr>
              <w:bCs/>
            </w:rPr>
            <w:fldChar w:fldCharType="begin"/>
          </w:r>
          <w:r>
            <w:rPr>
              <w:bCs/>
            </w:rPr>
            <w:instrText xml:space="preserve"> HYPERLINK \l _Toc22906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_Toc1532 </w:instrText>
          </w:r>
          <w:r>
            <w:rPr>
              <w:bCs/>
            </w:rPr>
            <w:fldChar w:fldCharType="separate"/>
          </w:r>
          <w:r>
            <w:rPr>
              <w:rFonts w:hint="eastAsia" w:ascii="Times New Roman" w:hAnsi="Times New Roman" w:eastAsia="楷体"/>
              <w:szCs w:val="24"/>
            </w:rPr>
            <w:t>贵金属：美元指数上涨，贵金属价格下跌</w:t>
          </w:r>
          <w:r>
            <w:rPr>
              <w:bCs/>
            </w:rPr>
            <w:fldChar w:fldCharType="end"/>
          </w:r>
        </w:p>
        <w:p>
          <w:pPr>
            <w:pStyle w:val="59"/>
            <w:tabs>
              <w:tab w:val="right" w:leader="dot" w:pos="8306"/>
            </w:tabs>
          </w:pPr>
          <w:r>
            <w:rPr>
              <w:bCs/>
            </w:rPr>
            <w:fldChar w:fldCharType="begin"/>
          </w:r>
          <w:r>
            <w:rPr>
              <w:bCs/>
            </w:rPr>
            <w:instrText xml:space="preserve"> HYPERLINK \l _Toc18085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_Toc6419 </w:instrText>
          </w:r>
          <w:r>
            <w:rPr>
              <w:bCs/>
            </w:rPr>
            <w:fldChar w:fldCharType="separate"/>
          </w:r>
          <w:r>
            <w:rPr>
              <w:rFonts w:hint="eastAsia" w:ascii="楷体" w:hAnsi="楷体" w:eastAsia="楷体"/>
              <w:szCs w:val="24"/>
            </w:rPr>
            <w:t>碳酸锂：生产企业计划检修，期价上涨</w:t>
          </w:r>
          <w:r>
            <w:rPr>
              <w:bCs/>
            </w:rPr>
            <w:fldChar w:fldCharType="end"/>
          </w:r>
        </w:p>
        <w:p>
          <w:pPr>
            <w:pStyle w:val="74"/>
            <w:tabs>
              <w:tab w:val="right" w:leader="dot" w:pos="8306"/>
            </w:tabs>
          </w:pPr>
          <w:r>
            <w:rPr>
              <w:bCs/>
            </w:rPr>
            <w:fldChar w:fldCharType="begin"/>
          </w:r>
          <w:r>
            <w:rPr>
              <w:bCs/>
            </w:rPr>
            <w:instrText xml:space="preserve"> HYPERLINK \l _Toc28606 </w:instrText>
          </w:r>
          <w:r>
            <w:rPr>
              <w:bCs/>
            </w:rPr>
            <w:fldChar w:fldCharType="separate"/>
          </w:r>
          <w:r>
            <w:rPr>
              <w:rFonts w:hint="eastAsia" w:ascii="楷体" w:hAnsi="楷体" w:eastAsia="楷体"/>
              <w:szCs w:val="24"/>
            </w:rPr>
            <w:t>铝：铝价维持低位震荡态势</w:t>
          </w:r>
          <w:r>
            <w:rPr>
              <w:bCs/>
            </w:rPr>
            <w:fldChar w:fldCharType="end"/>
          </w:r>
        </w:p>
        <w:p>
          <w:pPr>
            <w:pStyle w:val="74"/>
            <w:tabs>
              <w:tab w:val="right" w:leader="dot" w:pos="8306"/>
            </w:tabs>
          </w:pPr>
          <w:r>
            <w:rPr>
              <w:bCs/>
            </w:rPr>
            <w:fldChar w:fldCharType="begin"/>
          </w:r>
          <w:r>
            <w:rPr>
              <w:bCs/>
            </w:rPr>
            <w:instrText xml:space="preserve"> HYPERLINK \l _Toc8269 </w:instrText>
          </w:r>
          <w:r>
            <w:rPr>
              <w:bCs/>
            </w:rPr>
            <w:fldChar w:fldCharType="separate"/>
          </w:r>
          <w:r>
            <w:rPr>
              <w:rFonts w:hint="eastAsia" w:ascii="楷体" w:hAnsi="楷体" w:eastAsia="楷体"/>
              <w:szCs w:val="24"/>
            </w:rPr>
            <w:t>锌：锌价区间震荡整理</w:t>
          </w:r>
          <w:r>
            <w:rPr>
              <w:bCs/>
            </w:rPr>
            <w:fldChar w:fldCharType="end"/>
          </w:r>
        </w:p>
        <w:p>
          <w:pPr>
            <w:pStyle w:val="74"/>
            <w:tabs>
              <w:tab w:val="right" w:leader="dot" w:pos="8306"/>
            </w:tabs>
          </w:pPr>
          <w:r>
            <w:rPr>
              <w:bCs/>
            </w:rPr>
            <w:fldChar w:fldCharType="begin"/>
          </w:r>
          <w:r>
            <w:rPr>
              <w:bCs/>
            </w:rPr>
            <w:instrText xml:space="preserve"> HYPERLINK \l _Toc21914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：维持震荡偏弱运行</w:t>
          </w:r>
          <w:r>
            <w:rPr>
              <w:bCs/>
            </w:rPr>
            <w:fldChar w:fldCharType="end"/>
          </w:r>
        </w:p>
        <w:p>
          <w:pPr>
            <w:pStyle w:val="74"/>
            <w:tabs>
              <w:tab w:val="right" w:leader="dot" w:pos="8306"/>
            </w:tabs>
          </w:pPr>
          <w:r>
            <w:rPr>
              <w:bCs/>
            </w:rPr>
            <w:fldChar w:fldCharType="begin"/>
          </w:r>
          <w:r>
            <w:rPr>
              <w:bCs/>
            </w:rPr>
            <w:instrText xml:space="preserve"> HYPERLINK \l _Toc29361 </w:instrText>
          </w:r>
          <w:r>
            <w:rPr>
              <w:bCs/>
            </w:rPr>
            <w:fldChar w:fldCharType="separate"/>
          </w:r>
          <w:r>
            <w:rPr>
              <w:rFonts w:hint="eastAsia" w:ascii="楷体" w:hAnsi="楷体" w:eastAsia="楷体"/>
              <w:szCs w:val="24"/>
            </w:rPr>
            <w:t>镍：短期镍价缺乏反弹驱动</w:t>
          </w:r>
          <w:r>
            <w:rPr>
              <w:bCs/>
            </w:rPr>
            <w:fldChar w:fldCharType="end"/>
          </w:r>
        </w:p>
        <w:p>
          <w:pPr>
            <w:pStyle w:val="74"/>
            <w:tabs>
              <w:tab w:val="right" w:leader="dot" w:pos="8306"/>
            </w:tabs>
          </w:pPr>
          <w:r>
            <w:rPr>
              <w:bCs/>
            </w:rPr>
            <w:fldChar w:fldCharType="begin"/>
          </w:r>
          <w:r>
            <w:rPr>
              <w:bCs/>
            </w:rPr>
            <w:instrText xml:space="preserve"> HYPERLINK \l _Toc28326 </w:instrText>
          </w:r>
          <w:r>
            <w:rPr>
              <w:bCs/>
            </w:rPr>
            <w:fldChar w:fldCharType="separate"/>
          </w:r>
          <w:r>
            <w:rPr>
              <w:rFonts w:hint="eastAsia" w:ascii="楷体" w:hAnsi="楷体" w:eastAsia="楷体"/>
              <w:szCs w:val="24"/>
            </w:rPr>
            <w:t>不锈钢：弱需求低利润，价格窄幅震荡为主</w:t>
          </w:r>
          <w:r>
            <w:rPr>
              <w:bCs/>
            </w:rPr>
            <w:fldChar w:fldCharType="end"/>
          </w:r>
        </w:p>
        <w:p>
          <w:pPr>
            <w:pStyle w:val="74"/>
            <w:tabs>
              <w:tab w:val="right" w:leader="dot" w:pos="8306"/>
            </w:tabs>
          </w:pPr>
          <w:r>
            <w:rPr>
              <w:bCs/>
            </w:rPr>
            <w:fldChar w:fldCharType="begin"/>
          </w:r>
          <w:r>
            <w:rPr>
              <w:bCs/>
            </w:rPr>
            <w:instrText xml:space="preserve"> HYPERLINK \l _Toc8842 </w:instrText>
          </w:r>
          <w:r>
            <w:rPr>
              <w:bCs/>
            </w:rPr>
            <w:fldChar w:fldCharType="separate"/>
          </w:r>
          <w:r>
            <w:rPr>
              <w:rFonts w:hint="eastAsia" w:ascii="楷体" w:hAnsi="楷体" w:eastAsia="楷体"/>
              <w:szCs w:val="24"/>
            </w:rPr>
            <w:t>工业硅：需求未见明显放量，反弹空间或有限</w:t>
          </w:r>
          <w:r>
            <w:rPr>
              <w:bCs/>
            </w:rPr>
            <w:fldChar w:fldCharType="end"/>
          </w:r>
        </w:p>
        <w:p>
          <w:pPr>
            <w:pStyle w:val="59"/>
            <w:tabs>
              <w:tab w:val="right" w:leader="dot" w:pos="8306"/>
            </w:tabs>
          </w:pPr>
          <w:r>
            <w:rPr>
              <w:bCs/>
            </w:rPr>
            <w:fldChar w:fldCharType="begin"/>
          </w:r>
          <w:r>
            <w:rPr>
              <w:bCs/>
            </w:rPr>
            <w:instrText xml:space="preserve"> HYPERLINK \l _Toc27459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_Toc4309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天胶成本支撑减弱</w:t>
          </w:r>
          <w:r>
            <w:rPr>
              <w:bCs/>
            </w:rPr>
            <w:fldChar w:fldCharType="end"/>
          </w:r>
        </w:p>
        <w:p>
          <w:pPr>
            <w:pStyle w:val="74"/>
            <w:tabs>
              <w:tab w:val="right" w:leader="dot" w:pos="8306"/>
            </w:tabs>
          </w:pPr>
          <w:r>
            <w:rPr>
              <w:bCs/>
            </w:rPr>
            <w:fldChar w:fldCharType="begin"/>
          </w:r>
          <w:r>
            <w:rPr>
              <w:bCs/>
            </w:rPr>
            <w:instrText xml:space="preserve"> HYPERLINK \l _Toc23065 </w:instrText>
          </w:r>
          <w:r>
            <w:rPr>
              <w:bCs/>
            </w:rPr>
            <w:fldChar w:fldCharType="separate"/>
          </w:r>
          <w:r>
            <w:rPr>
              <w:rFonts w:hint="eastAsia" w:ascii="Times New Roman" w:hAnsi="Times New Roman" w:eastAsia="楷体"/>
              <w:szCs w:val="24"/>
            </w:rPr>
            <w:t>聚烯烃：需求迈入淡季 聚烯烃或延续震荡整理</w:t>
          </w:r>
          <w:r>
            <w:rPr>
              <w:bCs/>
            </w:rPr>
            <w:fldChar w:fldCharType="end"/>
          </w:r>
        </w:p>
        <w:p>
          <w:pPr>
            <w:pStyle w:val="74"/>
            <w:tabs>
              <w:tab w:val="right" w:leader="dot" w:pos="8306"/>
            </w:tabs>
          </w:pPr>
          <w:r>
            <w:rPr>
              <w:bCs/>
            </w:rPr>
            <w:fldChar w:fldCharType="begin"/>
          </w:r>
          <w:r>
            <w:rPr>
              <w:bCs/>
            </w:rPr>
            <w:instrText xml:space="preserve"> HYPERLINK \l _Toc25806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期价反弹无力，基本面未有转好迹象</w:t>
          </w:r>
          <w:r>
            <w:rPr>
              <w:bCs/>
            </w:rPr>
            <w:fldChar w:fldCharType="end"/>
          </w:r>
        </w:p>
        <w:p>
          <w:pPr>
            <w:pStyle w:val="74"/>
            <w:tabs>
              <w:tab w:val="right" w:leader="dot" w:pos="8306"/>
            </w:tabs>
          </w:pPr>
          <w:r>
            <w:rPr>
              <w:bCs/>
            </w:rPr>
            <w:fldChar w:fldCharType="begin"/>
          </w:r>
          <w:r>
            <w:rPr>
              <w:bCs/>
            </w:rPr>
            <w:instrText xml:space="preserve"> HYPERLINK \l _Toc5084 </w:instrText>
          </w:r>
          <w:r>
            <w:rPr>
              <w:bCs/>
            </w:rPr>
            <w:fldChar w:fldCharType="separate"/>
          </w:r>
          <w:r>
            <w:rPr>
              <w:rFonts w:hint="eastAsia" w:ascii="Times New Roman" w:hAnsi="Times New Roman" w:eastAsia="楷体"/>
              <w:szCs w:val="24"/>
            </w:rPr>
            <w:t>纯碱：空头获利减仓，昨日反弹超30元/吨</w:t>
          </w:r>
          <w:r>
            <w:rPr>
              <w:bCs/>
            </w:rPr>
            <w:fldChar w:fldCharType="end"/>
          </w:r>
        </w:p>
        <w:p>
          <w:pPr>
            <w:pStyle w:val="59"/>
            <w:tabs>
              <w:tab w:val="right" w:leader="dot" w:pos="8306"/>
            </w:tabs>
          </w:pPr>
          <w:r>
            <w:rPr>
              <w:bCs/>
            </w:rPr>
            <w:fldChar w:fldCharType="begin"/>
          </w:r>
          <w:r>
            <w:rPr>
              <w:bCs/>
            </w:rPr>
            <w:instrText xml:space="preserve"> HYPERLINK \l _Toc20763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_Toc21079 </w:instrText>
          </w:r>
          <w:r>
            <w:rPr>
              <w:bCs/>
            </w:rPr>
            <w:fldChar w:fldCharType="separate"/>
          </w:r>
          <w:r>
            <w:rPr>
              <w:rFonts w:hint="eastAsia" w:ascii="楷体" w:hAnsi="楷体" w:eastAsia="楷体"/>
              <w:bCs/>
            </w:rPr>
            <w:t>玉米与淀粉：</w:t>
          </w:r>
          <w:r>
            <w:rPr>
              <w:rFonts w:hint="eastAsia" w:ascii="楷体" w:hAnsi="楷体" w:eastAsia="楷体"/>
            </w:rPr>
            <w:t>现货分化带动期价震荡运行</w:t>
          </w:r>
          <w:r>
            <w:rPr>
              <w:bCs/>
            </w:rPr>
            <w:fldChar w:fldCharType="end"/>
          </w:r>
        </w:p>
        <w:p>
          <w:pPr>
            <w:pStyle w:val="74"/>
            <w:tabs>
              <w:tab w:val="right" w:leader="dot" w:pos="8306"/>
            </w:tabs>
          </w:pPr>
          <w:r>
            <w:rPr>
              <w:bCs/>
            </w:rPr>
            <w:fldChar w:fldCharType="begin"/>
          </w:r>
          <w:r>
            <w:rPr>
              <w:bCs/>
            </w:rPr>
            <w:instrText xml:space="preserve"> HYPERLINK \l _Toc6957 </w:instrText>
          </w:r>
          <w:r>
            <w:rPr>
              <w:bCs/>
            </w:rPr>
            <w:fldChar w:fldCharType="separate"/>
          </w:r>
          <w:r>
            <w:rPr>
              <w:rFonts w:hint="eastAsia" w:ascii="楷体" w:hAnsi="楷体" w:eastAsia="楷体"/>
              <w:bCs/>
            </w:rPr>
            <w:t>畜禽养殖：期价多有上涨</w:t>
          </w:r>
          <w:r>
            <w:rPr>
              <w:bCs/>
            </w:rPr>
            <w:fldChar w:fldCharType="end"/>
          </w:r>
        </w:p>
        <w:p>
          <w:pPr>
            <w:pStyle w:val="74"/>
            <w:tabs>
              <w:tab w:val="right" w:leader="dot" w:pos="8306"/>
            </w:tabs>
          </w:pPr>
          <w:r>
            <w:rPr>
              <w:bCs/>
            </w:rPr>
            <w:fldChar w:fldCharType="begin"/>
          </w:r>
          <w:r>
            <w:rPr>
              <w:bCs/>
            </w:rPr>
            <w:instrText xml:space="preserve"> HYPERLINK \l _Toc13500 </w:instrText>
          </w:r>
          <w:r>
            <w:rPr>
              <w:bCs/>
            </w:rPr>
            <w:fldChar w:fldCharType="separate"/>
          </w:r>
          <w:r>
            <w:rPr>
              <w:rFonts w:hint="eastAsia" w:ascii="楷体" w:hAnsi="楷体" w:eastAsia="楷体"/>
              <w:bCs/>
            </w:rPr>
            <w:t>白糖：期价依旧维持震荡运行</w:t>
          </w:r>
          <w:r>
            <w:rPr>
              <w:bCs/>
            </w:rPr>
            <w:fldChar w:fldCharType="end"/>
          </w:r>
        </w:p>
        <w:p>
          <w:pPr>
            <w:pStyle w:val="74"/>
            <w:tabs>
              <w:tab w:val="right" w:leader="dot" w:pos="8306"/>
            </w:tabs>
          </w:pPr>
          <w:r>
            <w:rPr>
              <w:bCs/>
            </w:rPr>
            <w:fldChar w:fldCharType="begin"/>
          </w:r>
          <w:r>
            <w:rPr>
              <w:bCs/>
            </w:rPr>
            <w:instrText xml:space="preserve"> HYPERLINK \l _Toc16077 </w:instrText>
          </w:r>
          <w:r>
            <w:rPr>
              <w:bCs/>
            </w:rPr>
            <w:fldChar w:fldCharType="separate"/>
          </w:r>
          <w:r>
            <w:rPr>
              <w:rFonts w:hint="eastAsia" w:ascii="楷体" w:hAnsi="楷体" w:eastAsia="楷体"/>
              <w:bCs/>
            </w:rPr>
            <w:t>棉花：进出口贸易回暖使外盘上涨，但预计支撑不长久</w:t>
          </w:r>
          <w:r>
            <w:rPr>
              <w:bCs/>
            </w:rPr>
            <w:fldChar w:fldCharType="end"/>
          </w:r>
        </w:p>
        <w:p>
          <w:pPr>
            <w:pStyle w:val="59"/>
            <w:tabs>
              <w:tab w:val="right" w:leader="dot" w:pos="8306"/>
            </w:tabs>
          </w:pPr>
          <w:r>
            <w:rPr>
              <w:bCs/>
            </w:rPr>
            <w:fldChar w:fldCharType="begin"/>
          </w:r>
          <w:r>
            <w:rPr>
              <w:bCs/>
            </w:rPr>
            <w:instrText xml:space="preserve"> HYPERLINK \l _Toc17290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_Toc5875 </w:instrText>
          </w:r>
          <w:r>
            <w:rPr>
              <w:bCs/>
            </w:rPr>
            <w:fldChar w:fldCharType="separate"/>
          </w:r>
          <w:r>
            <w:rPr>
              <w:rFonts w:hint="eastAsia" w:ascii="Times New Roman" w:hAnsi="Times New Roman" w:eastAsia="楷体"/>
              <w:szCs w:val="24"/>
            </w:rPr>
            <w:t>集运指数（欧线）：近月合约减仓回落，back结构收窄</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156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329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短期观望，待企稳后低多IF</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沪深两市早盘一度延续跌势，午后，沪深300指数率先翻红，中证800指数紧随其后，跌幅收窄，多只宽基ETF午后再度放量，隐含大资金承托预期。展望后市，短期调整使得A股性价比得到明显改善，有利于悲观预期出清。预计三季度股市整体区间震荡为主，重点关注7月三中全会对于中长期经济改革等表述，四季度大选后风险偏好有望提升，指数有望上台阶。风格方面，“新国九条”之后，政策导向、市场审美、企业行为正在形成正循环，政策引导资金流入科创、专精特新领域，资金审美逐渐偏向大盘核心资产，以大盘红利+科技为主线。近期大盘已出现大资金维稳动作，但临近尾盘，仍出现一定回落，预计后市仍需大资金出手干预，稳定预期。由于IC、IM盘中波动较大，单边投资者需谨慎参与，待市场企稳后考虑逐步低位布局IF多单。</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290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532"/>
      <w:r>
        <w:rPr>
          <w:rFonts w:hint="eastAsia" w:ascii="Times New Roman" w:hAnsi="Times New Roman" w:eastAsia="楷体"/>
          <w:b/>
          <w:color w:val="000000" w:themeColor="text1"/>
          <w:sz w:val="24"/>
          <w:szCs w:val="24"/>
          <w14:textFill>
            <w14:solidFill>
              <w14:schemeClr w14:val="tx1"/>
            </w14:solidFill>
          </w14:textFill>
        </w:rPr>
        <w:t>贵金属：美元指数上涨，贵金属价格下跌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0.4%至106.06，沪金跌0.89%至545.22元/克，沪银跌0.68%至7637元/千克。美联储理事鲍曼在讲话中表示，美国通胀率仍在上升，仍然看到一些通胀上行风险，这影响了对降息前景的判断。其认为需要看到通胀的细分类别如何发展，密切关注劳动力市场是否恶化，2024年不会降息，将降息时间推迟至2025年。受此番鹰派表态影响，贵金属价格短线承压。美联储理事鲍曼也表示，预计未来3至6个月通胀下行，但可能路径崎岖不平。美国5月新屋销售年化总数61.9万户，为2023年11月以来新低，预期64万户。本周重点关注周五晚间即将公布的美国5月PCE通胀数据。此前海外经济学家预计PCE通胀增速环比或有所放缓，预期PCE环比持平、核心PCE环比或回落至增0.1%。若PCE通胀数据如期回落提示美国通胀增速放缓，情绪上或对银价表现形成一定的支撑。美联储官员发言令市场降息预期反复摇摆，短线观望为主。中长线逻辑不变，在美国经济面临下行压力期间，白银作为贵金属资产的避险价值或将凸显。</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808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6419"/>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碳酸锂：生产企业计划检修，期价上涨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大幅上涨，11合约涨4.35%至97050元/吨，持仓13.20万手；07合约涨5.11%至92550元/吨，持仓减少15901手至4.09万。碳酸锂注册仓单小幅减少70手至28340手。锂云母提锂龙头企业志存锂业公告，子公司金辉锂业、天卓材料碳酸锂生产线于7月1日起分阶段开展例行夏季检修。或受此消息面因素影响，市场下调产量预期，期价大幅反弹。此前于2023年10月，企业也曾进行约三周的设备检修，当时影响约3000吨产量。后续关注相关企业减停产情况，消息面因素扰动下波动或加剧。</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860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铝价维持低位震荡态势</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关注美国PCE数据情况，近期宏观情绪引导走弱。上游铝土矿供应仍有供应扰动预期，氧化铝价格坚挺需求刚性，电解铝生产成本抬升，进口铝盈利窗口关闭，进口补充有限，国内电解铝运行产能持续走增，产量保持高位，内需在淡季消费下游企业开工率走弱，但海外出口需求旺盛，需求表现为内需淡季趋弱，外需依旧旺盛，铝价短期内上下有限，价格低位盘整震荡。</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269"/>
      <w:r>
        <w:rPr>
          <w:rFonts w:hint="eastAsia" w:ascii="楷体" w:hAnsi="楷体" w:eastAsia="楷体"/>
          <w:b/>
          <w:color w:val="000000" w:themeColor="text1"/>
          <w:sz w:val="24"/>
          <w:szCs w:val="24"/>
          <w14:textFill>
            <w14:solidFill>
              <w14:schemeClr w14:val="tx1"/>
            </w14:solidFill>
          </w14:textFill>
        </w:rPr>
        <w:t>锌：锌价区间震荡整理</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变化关注近期美国PCE数据公布。锌矿TC加工费低位，国内矿供应走增，但对精炼锌高产原料需求依旧供应吃紧，炼厂叠加副产品生产利润保持亏损，中游加工生产积极性较低，沪伦比收窄打开进口盈利窗口，5月锌矿及精炼锌进口量环比走弱，精炼锌生产下降但仍在历史相对高位，库存高位小幅累库。矿端成本高企支撑锌价，冶炼利润下降拖累加工企业生产积极性，传统基建、地产板块有国家利多政策扶植支持，消费淡季或有不淡表现，短期锌价回调盘整，参考震荡区间23000-24500，建议高抛低吸参与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191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：维持震荡偏弱运行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(1)库存：6月26日，SHFE仓单库存254965吨，减422吨；LME仓单库存175475吨，增2625吨。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(2)精废价差：6月26日，Mysteel精废价差562，收窄686。目前价差在合理价差1472之下。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近期鹰派联储官员警告通胀存在上行风险，预计2024年不会有任何降息行动，美联储可能把降息时间推迟至2025年。美元指数保持偏强态势，铜价承压运行。基本面，伴随铜价下跌，精废价差明显收窄，市场上再生铜原料流通开始紧张，或再次引发对后期铜矿偏紧传导至冶炼端的预期，当前TC仍处历史极低值，限制价格继续下跌空间，但短期利多驱动有限，价格反弹驱动不强，预计维持震荡偏弱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9361"/>
      <w:r>
        <w:rPr>
          <w:rFonts w:hint="eastAsia" w:ascii="楷体" w:hAnsi="楷体" w:eastAsia="楷体"/>
          <w:b/>
          <w:color w:val="000000" w:themeColor="text1"/>
          <w:sz w:val="24"/>
          <w:szCs w:val="24"/>
          <w14:textFill>
            <w14:solidFill>
              <w14:schemeClr w14:val="tx1"/>
            </w14:solidFill>
          </w14:textFill>
        </w:rPr>
        <w:t>镍：短期镍价缺乏反弹驱动</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矿端，印尼镍矿RKAB审批加快，由于审批通过与实际供应之间存在时滞，目前流通资源仍偏紧，但印尼镍矿供应不确定性逻辑带来的溢价已明显消退。原料端，近期硫酸镍价格弱势运行，一是在于中间品生产硫酸镍的成本下行；二是在于三元材料厂家继续减产，硫酸镍需求不佳。供需方面，精炼镍维持过剩格局，国产精炼镍品牌积极寻求出口，使得国内现货资源偏紧，加上镍估值回落后下游交投情绪有所好转，社库上两周维持去化。从终端需求来看，在新能源汽车领域，5月中国三元材料产量环比下降20%，同比下降5%，且6月延续下降趋势，加上三元材料库存高企，对镍需求较疲软；在不锈钢领域，终端需求亦无亮点可循。综合而言，印尼镍矿现货偏紧但担忧情绪已缓解，成本支撑下滑，镍基本面仍偏弱，不过现货偏紧也带来一定支撑，预计短期镍价反弹空间有限，运行区间参考130000—140000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8326"/>
      <w:r>
        <w:rPr>
          <w:rFonts w:hint="eastAsia" w:ascii="楷体" w:hAnsi="楷体" w:eastAsia="楷体"/>
          <w:b/>
          <w:color w:val="000000" w:themeColor="text1"/>
          <w:sz w:val="24"/>
          <w:szCs w:val="24"/>
          <w14:textFill>
            <w14:solidFill>
              <w14:schemeClr w14:val="tx1"/>
            </w14:solidFill>
          </w14:textFill>
        </w:rPr>
        <w:t>不锈钢：弱需求低利润，价格窄幅震荡为主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矿端成本支撑仍在，5月印尼镍铁回流国内数量环比下降10%，但由于不锈钢需求偏弱且维持累库，钢厂对镍铁高价采购情绪减弱，镍铁价格承压运行。供需方面，目前处于不锈钢传统消费淡季，下游备库积极性较低，终端需求表现亦乏善可陈。库存方面，钢厂控制发货节奏，现货资源偏少，社库刚需去库，仓单库存仍处于历史高位。综合而言，目前不锈钢基本面难寻利多因素，成本支撑减弱，需求表现不振，仓单库存压力犹存，但由于不锈钢厂生产利润下降至成本边际，钢厂挺价情绪较强，加上市场传言钢厂开始减产，价格下行动能受阻。预计短期价格窄幅震荡为主，关注不锈钢厂减产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884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需求未见明显放量，反弹空间或有限</w:t>
      </w:r>
      <w:bookmarkEnd w:id="25"/>
    </w:p>
    <w:p>
      <w:pPr>
        <w:ind w:left="630" w:leftChars="300"/>
        <w:rPr>
          <w:rFonts w:ascii="楷体" w:hAnsi="楷体" w:eastAsia="楷体"/>
          <w:sz w:val="24"/>
          <w:szCs w:val="24"/>
        </w:rPr>
      </w:pPr>
      <w:r>
        <w:rPr>
          <w:rFonts w:hint="eastAsia" w:ascii="楷体" w:hAnsi="楷体" w:eastAsia="楷体"/>
          <w:sz w:val="24"/>
          <w:szCs w:val="24"/>
        </w:rPr>
        <w:t>6月26日，Si2409主力合约呈反弹走势，收盘价11470元/吨，较上一收盘价涨跌幅+1.46%。近日，盘面大幅下跌，部分期现商低价出货，下游多以刚需补库为主，未见明显放量。据硅业分会公布，多晶硅市场成交依旧较为清淡，价格再度有所下调，多数企业维持检修，整体对工业硅需求暂无出现改善迹象。在下游需求未见明显改善，但供应端季节性复产持续推进，基本面宽松格局艰难扭转，预计盘面反弹高度有限。策略上，建议以逢高做空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7459"/>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430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天胶成本支撑减弱</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全球产区降水预期偏强，中长期对割胶工作有利，总供应上量预期明显，目前原料价格有所下滑，产量拐点仍需进一步观察。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回落，对胶价底部支撑减弱。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3065"/>
      <w:r>
        <w:rPr>
          <w:rFonts w:hint="eastAsia" w:ascii="Times New Roman" w:hAnsi="Times New Roman" w:eastAsia="楷体"/>
          <w:b/>
          <w:color w:val="000000" w:themeColor="text1"/>
          <w:sz w:val="24"/>
          <w:szCs w:val="24"/>
          <w14:textFill>
            <w14:solidFill>
              <w14:schemeClr w14:val="tx1"/>
            </w14:solidFill>
          </w14:textFill>
        </w:rPr>
        <w:t>聚烯烃：需求迈入淡季 聚烯烃或延续震荡整理</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5806"/>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期价反弹无力，基本面未有转好迹象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上看，玻璃夜盘收盘价为1545元/吨，轻微反弹后继无力。现货方面，浮法玻璃河北沙河大板现货维持1472元/吨低位。库存方面，玻璃在产企业总库存为5982.7万重量箱，环比上周上升169万重量箱（2.91%）。5月地产数据延续低迷态势，竣工和销售累计增速依然疲软。政策出台后，二手房成交有好转，但近期二手房再次出现一定降温。新房销售差，地产资金压力依然较大，对竣工的兑现会有牵制。加工订单方面，原片价格上涨未成功传导至下游，加工厂利润压缩，下游订单环比走弱。</w:t>
      </w:r>
    </w:p>
    <w:p>
      <w:pPr>
        <w:ind w:left="630" w:leftChars="300"/>
        <w:rPr>
          <w:rFonts w:hint="eastAsia" w:ascii="楷体" w:hAnsi="楷体" w:eastAsia="楷体"/>
          <w:sz w:val="24"/>
          <w:szCs w:val="24"/>
        </w:rPr>
      </w:pPr>
      <w:r>
        <w:rPr>
          <w:rFonts w:hint="eastAsia" w:ascii="楷体" w:hAnsi="楷体" w:eastAsia="楷体"/>
          <w:sz w:val="24"/>
          <w:szCs w:val="24"/>
        </w:rPr>
        <w:t>总体来看，6月市场情绪回落，叠加地产数据打压期货盘面，前期政策利多因素消化后玻璃期货转为交易现实。库存本周大幅上升，期价受压，短期内预计持续偏弱建议观望。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5084"/>
      <w:r>
        <w:rPr>
          <w:rFonts w:hint="eastAsia" w:ascii="Times New Roman" w:hAnsi="Times New Roman" w:eastAsia="楷体"/>
          <w:b/>
          <w:color w:val="000000" w:themeColor="text1"/>
          <w:sz w:val="24"/>
          <w:szCs w:val="24"/>
          <w14:textFill>
            <w14:solidFill>
              <w14:schemeClr w14:val="tx1"/>
            </w14:solidFill>
          </w14:textFill>
        </w:rPr>
        <w:t>纯碱：空头获利减仓，昨日反弹超30元/吨</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盘面来看，夜盘纯碱主力合约收盘2058元/吨，本日出现反弹。现货来看，今日国内价格保持稳定；随着前期检修企业恢复生产，纯碱供应将有所增加；部分厂家库存增加，纯碱市场偏弱运行。</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89.18%，环比上升2.9%。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目前，虽然今日有所反弹，但基本面并未呈现转折迹象，上周基本面边际好转后的反弹行情并未出现驱动承接，短期预计纯碱现货价格偏弱，后市仍需主要关注供应端变动情况。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0763"/>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107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现货分化带动期价震荡运行</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玉米现货分化运行，华北产区涨跌互现，东北产区与南北方港口稳中有涨，玉米期价震荡运行，收盘变动不大。对于玉米而言，市场依然担心东北产区玉米高价往下游传导的问题，因玉米产销区价差与华北-东北玉米价差持续处于历史同期低位，当前市场担忧主要集中在陈化水稻投放和新作小麦上市两个层面，在我们看来，陈稻层面国家没有动力/意愿降价抛储，这意味着在当前期现货水平下陈稻即使抛储亦不能带来实质供应；而新作小麦层面则一方面产量不及预期，另一方面国家启动增储收购，这有望使得小麦饲用替代量受限，因此，我们倾向于国内玉米产需缺口有望逐步显现。当然，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昨日国内玉米淀粉现货稳中偏强，局部地区小幅上涨，淀粉期价表现相对弱于玉米，淀粉-玉米价差略有收窄。对于淀粉而言，近期淀粉-玉米价差如期走扩，我们倾向于认为这一趋势短期有望延续，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6957"/>
      <w:r>
        <w:rPr>
          <w:rFonts w:hint="eastAsia" w:ascii="楷体" w:hAnsi="楷体" w:eastAsia="楷体"/>
          <w:b/>
          <w:bCs/>
          <w:color w:val="000000" w:themeColor="text1"/>
          <w14:textFill>
            <w14:solidFill>
              <w14:schemeClr w14:val="tx1"/>
            </w14:solidFill>
          </w14:textFill>
        </w:rPr>
        <w:t>畜禽养殖：期价多有上涨</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生猪现货略有回落，全国均价下跌0.02元至17.54元/斤，期价低开高走，各合约均收涨，其中9月合约相对强势。对于生猪而言，市场基于生猪和能繁母猪存栏下滑，合理预计接下来直至四季度生猪出栏量环比与同比下滑，但由于生产效率（如配种分娩率对冲产能去化的影响）、饲料成本（相同养殖利润下生猪绝对价格下滑）和生猪出栏体重（在一定程度上对冲出栏量下降对猪肉供应量的影响）等因素，在一定程度上使得市场对猪价高点预期弱于2022年。五月以来的现货上涨过程中，养殖户有压栏情况且二次育肥积极入场，导致出栏量持续环比下降，宰后均重上升，现货表现强势，但市场担心供应后移其实不利于后期期现货表现，甚至担心端午节需求释放之后现货或出现回落，这体现在期价特别是近月深度贴水现货上。六月中旬以来现货逐步转弱，主要源于猪价高企对需求的压制及其气温上升对压栏/二次育肥的影响。值得留意的是，如果市场能阶段性出栏带动体重下降，或反而有利于后期猪价上涨，因从新生仔猪数量推算，三季度生猪出栏数量仍将继续环比下滑。据此我们中期谨慎看多，短期观点转为谨慎看多，建议谨慎投资者观望为宜，激进投资者可考虑做多2409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鸡蛋现货稳中有涨，盘面期价延续涨势，其中8-11月合约相对强势。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五月中以来的鸡蛋现货超预期上涨可能带来市场对供需预期的分歧，除去需求端增量即南方持续降雨带来蔬菜缺口继而催生鸡蛋阶段性补库之外，还可能表明供应端亦不及市场之前预期，因多家机构数据均显示去年底以来蛋鸡淘汰量同比大幅增加。接下来需要重点关注两个方面，其一是饲料原料端即豆粕和玉米走势，因饲料在鸡蛋养殖成本中占比较大；其二是现货走势，因市场将据之来判断行业供需格局，特别是5月现货大幅上涨已经带来市场较大分歧的情况下。综上所述，我们暂维持中性观点，建议投资者观望为宜，可考虑轻仓择机入场做多旺季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13500"/>
      <w:r>
        <w:rPr>
          <w:rFonts w:hint="eastAsia" w:ascii="楷体" w:hAnsi="楷体" w:eastAsia="楷体"/>
          <w:b/>
          <w:bCs/>
          <w:color w:val="000000" w:themeColor="text1"/>
          <w14:textFill>
            <w14:solidFill>
              <w14:schemeClr w14:val="tx1"/>
            </w14:solidFill>
          </w14:textFill>
        </w:rPr>
        <w:t>白糖：期价依旧维持震荡运行</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原糖主力合约和伦敦白砂糖主力合约上涨0.10%和1.34%，两者上涨幅度差别较大。ISO理事会会议上提到，国际市场对印度糖的需求很大，2025年国际市场将需要印度糖。由于印度的库存较高，印度的糖出口有空间。但目前印度优先考虑乙醇计划，暂时没有修改出口限制的打算。国内昨日夜盘白糖主力合约下跌0.23%。现货市场方面，6月整月价格呈下跌态势。云南6月销量不佳，端午节前采购的食糖需要消化，商家目前采购意愿较为平淡。期价仍为震荡偏弱，长线看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16077"/>
      <w:r>
        <w:rPr>
          <w:rFonts w:hint="eastAsia" w:ascii="楷体" w:hAnsi="楷体" w:eastAsia="楷体"/>
          <w:b/>
          <w:bCs/>
          <w:color w:val="000000" w:themeColor="text1"/>
          <w14:textFill>
            <w14:solidFill>
              <w14:schemeClr w14:val="tx1"/>
            </w14:solidFill>
          </w14:textFill>
        </w:rPr>
        <w:t>棉花：进出口贸易回暖使外盘上涨，但预计支撑不长久</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美棉上涨0.32%，已连续三日上涨。在亚洲强劲需求下，巴西出口量激增80%，成为本年度全球最大棉花出口国。同时美棉出口也在回暖，进出口贸易活跃使棉价回暖。国内昨日夜盘棉花和棉纱主力合约上涨0.03%和0.61%，目前国内需求层面并无明显恢复迹象，且新棉存在丰产预期，供需格局或仍将处于宽松状态，盘面持续上行动力或不足，难以给出明确方向，暂观望。</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7290"/>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5875"/>
      <w:r>
        <w:rPr>
          <w:rFonts w:hint="eastAsia" w:ascii="Times New Roman" w:hAnsi="Times New Roman" w:eastAsia="楷体"/>
          <w:b/>
          <w:color w:val="000000" w:themeColor="text1"/>
          <w:sz w:val="24"/>
          <w:szCs w:val="24"/>
          <w14:textFill>
            <w14:solidFill>
              <w14:schemeClr w14:val="tx1"/>
            </w14:solidFill>
          </w14:textFill>
        </w:rPr>
        <w:t>集运指数（欧线）：近月合约减仓回落，back结构收窄</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现货方面，6月24日，上海港出口至欧洲基本港市场运价（SCFI欧线）为4336美元/TEU，较上期上涨3.8%，保持上涨势头。6月24日盘后公布，SCFIS欧线最新为4765.87点，环比上涨1.65%，实际结算运价有所支撑。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应端来看，随着旺季出货需求提升，三大联盟在欧线新增了合计周均运力1.8万TEU，相当于当前欧线运力的6%，以满足需求并提高收益。尽管船司面临船舶无法按时返回上海港导致的被动空班情况，但运费仍将维持高位，而港口拥堵虽有发生但未形成连锁反应。</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另外，船司们继续提价支撑近月合约：马士基开放第27周试舱价格，其中上海——安特卫普开舱价格大柜8000美金，对应SCFIS股指在5400点左右。</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欧洲经济研究所(ZEW)发布的数据显示，欧元区6月ZEW经济景气指数为51.3，好于市场预期及前值，创2021年7月以来的新高，数据显示欧洲经济继续保持平稳增长，有利于对欧洲航线的运输需求起到支撑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总体来看，近月合约在创出高位后出现多头减仓现象稍稍回落，远月合约不确定性较强，波动更大，建议投资者谨慎操作。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2481108"/>
      <w:bookmarkStart w:id="40" w:name="_Toc71212556"/>
      <w:bookmarkStart w:id="41" w:name="_Toc19667"/>
      <w:bookmarkStart w:id="42" w:name="_Toc98426751"/>
      <w:bookmarkStart w:id="43" w:name="_Toc12779"/>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2024年6月27日星期四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6C44D71"/>
    <w:rsid w:val="373F75CC"/>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BF13F0"/>
    <w:rsid w:val="49D75468"/>
    <w:rsid w:val="49E169F0"/>
    <w:rsid w:val="4A4A74EF"/>
    <w:rsid w:val="4A6F6249"/>
    <w:rsid w:val="4AA77B51"/>
    <w:rsid w:val="4AB74C38"/>
    <w:rsid w:val="4B14426D"/>
    <w:rsid w:val="4B6224E5"/>
    <w:rsid w:val="4B8C4A56"/>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713929"/>
    <w:rsid w:val="78E55995"/>
    <w:rsid w:val="79267C0B"/>
    <w:rsid w:val="793F61E8"/>
    <w:rsid w:val="79C90FB7"/>
    <w:rsid w:val="7A25684F"/>
    <w:rsid w:val="7A4975BA"/>
    <w:rsid w:val="7A5B105F"/>
    <w:rsid w:val="7A9E5DA7"/>
    <w:rsid w:val="7ABE4B56"/>
    <w:rsid w:val="7B264F79"/>
    <w:rsid w:val="7B3E5659"/>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2024-06-27T02:18:37Z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