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_Toc29582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_Toc22998 </w:instrText>
          </w:r>
          <w:r>
            <w:rPr>
              <w:bCs/>
            </w:rPr>
            <w:fldChar w:fldCharType="separate"/>
          </w:r>
          <w:r>
            <w:rPr>
              <w:rFonts w:hint="eastAsia" w:ascii="Times New Roman" w:hAnsi="Times New Roman" w:eastAsia="楷体"/>
              <w:szCs w:val="24"/>
            </w:rPr>
            <w:t>股指：短期观望，待企稳后低多IF</w:t>
          </w:r>
          <w:r>
            <w:rPr>
              <w:bCs/>
            </w:rPr>
            <w:fldChar w:fldCharType="end"/>
          </w:r>
        </w:p>
        <w:p>
          <w:pPr>
            <w:pStyle w:val="59"/>
            <w:tabs>
              <w:tab w:val="right" w:leader="dot" w:pos="8306"/>
            </w:tabs>
          </w:pPr>
          <w:r>
            <w:rPr>
              <w:bCs/>
            </w:rPr>
            <w:fldChar w:fldCharType="begin"/>
          </w:r>
          <w:r>
            <w:rPr>
              <w:bCs/>
            </w:rPr>
            <w:instrText xml:space="preserve"> HYPERLINK \l _Toc5526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_Toc14972 </w:instrText>
          </w:r>
          <w:r>
            <w:rPr>
              <w:bCs/>
            </w:rPr>
            <w:fldChar w:fldCharType="separate"/>
          </w:r>
          <w:r>
            <w:rPr>
              <w:rFonts w:hint="eastAsia" w:ascii="Times New Roman" w:hAnsi="Times New Roman" w:eastAsia="楷体"/>
              <w:szCs w:val="24"/>
            </w:rPr>
            <w:t>贵金属：美联储官员表态偏鹰，贵金属价格下跌</w:t>
          </w:r>
          <w:r>
            <w:rPr>
              <w:bCs/>
            </w:rPr>
            <w:fldChar w:fldCharType="end"/>
          </w:r>
        </w:p>
        <w:p>
          <w:pPr>
            <w:pStyle w:val="59"/>
            <w:tabs>
              <w:tab w:val="right" w:leader="dot" w:pos="8306"/>
            </w:tabs>
          </w:pPr>
          <w:r>
            <w:rPr>
              <w:bCs/>
            </w:rPr>
            <w:fldChar w:fldCharType="begin"/>
          </w:r>
          <w:r>
            <w:rPr>
              <w:bCs/>
            </w:rPr>
            <w:instrText xml:space="preserve"> HYPERLINK \l _Toc6020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_Toc24750 </w:instrText>
          </w:r>
          <w:r>
            <w:rPr>
              <w:bCs/>
            </w:rPr>
            <w:fldChar w:fldCharType="separate"/>
          </w:r>
          <w:r>
            <w:rPr>
              <w:rFonts w:hint="eastAsia" w:ascii="楷体" w:hAnsi="楷体" w:eastAsia="楷体"/>
              <w:szCs w:val="24"/>
            </w:rPr>
            <w:t>碳酸锂：盘面波动加剧，期价探底回升</w:t>
          </w:r>
          <w:r>
            <w:rPr>
              <w:bCs/>
            </w:rPr>
            <w:fldChar w:fldCharType="end"/>
          </w:r>
        </w:p>
        <w:p>
          <w:pPr>
            <w:pStyle w:val="74"/>
            <w:tabs>
              <w:tab w:val="right" w:leader="dot" w:pos="8306"/>
            </w:tabs>
          </w:pPr>
          <w:r>
            <w:rPr>
              <w:bCs/>
            </w:rPr>
            <w:fldChar w:fldCharType="begin"/>
          </w:r>
          <w:r>
            <w:rPr>
              <w:bCs/>
            </w:rPr>
            <w:instrText xml:space="preserve"> HYPERLINK \l _Toc23067 </w:instrText>
          </w:r>
          <w:r>
            <w:rPr>
              <w:bCs/>
            </w:rPr>
            <w:fldChar w:fldCharType="separate"/>
          </w:r>
          <w:r>
            <w:rPr>
              <w:rFonts w:hint="eastAsia" w:ascii="楷体" w:hAnsi="楷体" w:eastAsia="楷体"/>
              <w:szCs w:val="24"/>
            </w:rPr>
            <w:t>铝：铝价承压低位盘整震荡</w:t>
          </w:r>
          <w:r>
            <w:rPr>
              <w:bCs/>
            </w:rPr>
            <w:fldChar w:fldCharType="end"/>
          </w:r>
        </w:p>
        <w:p>
          <w:pPr>
            <w:pStyle w:val="74"/>
            <w:tabs>
              <w:tab w:val="right" w:leader="dot" w:pos="8306"/>
            </w:tabs>
          </w:pPr>
          <w:r>
            <w:rPr>
              <w:bCs/>
            </w:rPr>
            <w:fldChar w:fldCharType="begin"/>
          </w:r>
          <w:r>
            <w:rPr>
              <w:bCs/>
            </w:rPr>
            <w:instrText xml:space="preserve"> HYPERLINK \l _Toc19971 </w:instrText>
          </w:r>
          <w:r>
            <w:rPr>
              <w:bCs/>
            </w:rPr>
            <w:fldChar w:fldCharType="separate"/>
          </w:r>
          <w:r>
            <w:rPr>
              <w:rFonts w:hint="eastAsia" w:ascii="楷体" w:hAnsi="楷体" w:eastAsia="楷体"/>
              <w:szCs w:val="24"/>
            </w:rPr>
            <w:t>锌：锌价保持震荡态势</w:t>
          </w:r>
          <w:r>
            <w:rPr>
              <w:bCs/>
            </w:rPr>
            <w:fldChar w:fldCharType="end"/>
          </w:r>
        </w:p>
        <w:p>
          <w:pPr>
            <w:pStyle w:val="74"/>
            <w:tabs>
              <w:tab w:val="right" w:leader="dot" w:pos="8306"/>
            </w:tabs>
          </w:pPr>
          <w:r>
            <w:rPr>
              <w:bCs/>
            </w:rPr>
            <w:fldChar w:fldCharType="begin"/>
          </w:r>
          <w:r>
            <w:rPr>
              <w:bCs/>
            </w:rPr>
            <w:instrText xml:space="preserve"> HYPERLINK \l _Toc29936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：维持震荡偏弱运行</w:t>
          </w:r>
          <w:r>
            <w:rPr>
              <w:bCs/>
            </w:rPr>
            <w:fldChar w:fldCharType="end"/>
          </w:r>
        </w:p>
        <w:p>
          <w:pPr>
            <w:pStyle w:val="74"/>
            <w:tabs>
              <w:tab w:val="right" w:leader="dot" w:pos="8306"/>
            </w:tabs>
          </w:pPr>
          <w:r>
            <w:rPr>
              <w:bCs/>
            </w:rPr>
            <w:fldChar w:fldCharType="begin"/>
          </w:r>
          <w:r>
            <w:rPr>
              <w:bCs/>
            </w:rPr>
            <w:instrText xml:space="preserve"> HYPERLINK \l _Toc20144 </w:instrText>
          </w:r>
          <w:r>
            <w:rPr>
              <w:bCs/>
            </w:rPr>
            <w:fldChar w:fldCharType="separate"/>
          </w:r>
          <w:r>
            <w:rPr>
              <w:rFonts w:hint="eastAsia" w:ascii="楷体" w:hAnsi="楷体" w:eastAsia="楷体"/>
              <w:szCs w:val="24"/>
            </w:rPr>
            <w:t>镍：基本面偏弱，短期镍价或偏弱震荡</w:t>
          </w:r>
          <w:r>
            <w:rPr>
              <w:bCs/>
            </w:rPr>
            <w:fldChar w:fldCharType="end"/>
          </w:r>
        </w:p>
        <w:p>
          <w:pPr>
            <w:pStyle w:val="74"/>
            <w:tabs>
              <w:tab w:val="right" w:leader="dot" w:pos="8306"/>
            </w:tabs>
          </w:pPr>
          <w:r>
            <w:rPr>
              <w:bCs/>
            </w:rPr>
            <w:fldChar w:fldCharType="begin"/>
          </w:r>
          <w:r>
            <w:rPr>
              <w:bCs/>
            </w:rPr>
            <w:instrText xml:space="preserve"> HYPERLINK \l _Toc4746 </w:instrText>
          </w:r>
          <w:r>
            <w:rPr>
              <w:bCs/>
            </w:rPr>
            <w:fldChar w:fldCharType="separate"/>
          </w:r>
          <w:r>
            <w:rPr>
              <w:rFonts w:hint="eastAsia" w:ascii="楷体" w:hAnsi="楷体" w:eastAsia="楷体"/>
              <w:szCs w:val="24"/>
            </w:rPr>
            <w:t>不锈钢：上下空间皆有限，关注钢厂排产情况</w:t>
          </w:r>
          <w:r>
            <w:rPr>
              <w:bCs/>
            </w:rPr>
            <w:fldChar w:fldCharType="end"/>
          </w:r>
        </w:p>
        <w:p>
          <w:pPr>
            <w:pStyle w:val="74"/>
            <w:tabs>
              <w:tab w:val="right" w:leader="dot" w:pos="8306"/>
            </w:tabs>
          </w:pPr>
          <w:r>
            <w:rPr>
              <w:bCs/>
            </w:rPr>
            <w:fldChar w:fldCharType="begin"/>
          </w:r>
          <w:r>
            <w:rPr>
              <w:bCs/>
            </w:rPr>
            <w:instrText xml:space="preserve"> HYPERLINK \l _Toc23965 </w:instrText>
          </w:r>
          <w:r>
            <w:rPr>
              <w:bCs/>
            </w:rPr>
            <w:fldChar w:fldCharType="separate"/>
          </w:r>
          <w:r>
            <w:rPr>
              <w:rFonts w:hint="eastAsia" w:ascii="楷体" w:hAnsi="楷体" w:eastAsia="楷体"/>
              <w:szCs w:val="24"/>
            </w:rPr>
            <w:t>工业硅：基本面宽松预期，盘面延续下行</w:t>
          </w:r>
          <w:r>
            <w:rPr>
              <w:bCs/>
            </w:rPr>
            <w:fldChar w:fldCharType="end"/>
          </w:r>
        </w:p>
        <w:p>
          <w:pPr>
            <w:pStyle w:val="59"/>
            <w:tabs>
              <w:tab w:val="right" w:leader="dot" w:pos="8306"/>
            </w:tabs>
          </w:pPr>
          <w:r>
            <w:rPr>
              <w:bCs/>
            </w:rPr>
            <w:fldChar w:fldCharType="begin"/>
          </w:r>
          <w:r>
            <w:rPr>
              <w:bCs/>
            </w:rPr>
            <w:instrText xml:space="preserve"> HYPERLINK \l _Toc23213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_Toc8725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供应逐步上量 天胶成本支撑减弱</w:t>
          </w:r>
          <w:r>
            <w:rPr>
              <w:bCs/>
            </w:rPr>
            <w:fldChar w:fldCharType="end"/>
          </w:r>
        </w:p>
        <w:p>
          <w:pPr>
            <w:pStyle w:val="74"/>
            <w:tabs>
              <w:tab w:val="right" w:leader="dot" w:pos="8306"/>
            </w:tabs>
          </w:pPr>
          <w:r>
            <w:rPr>
              <w:bCs/>
            </w:rPr>
            <w:fldChar w:fldCharType="begin"/>
          </w:r>
          <w:r>
            <w:rPr>
              <w:bCs/>
            </w:rPr>
            <w:instrText xml:space="preserve"> HYPERLINK \l _Toc17347 </w:instrText>
          </w:r>
          <w:r>
            <w:rPr>
              <w:bCs/>
            </w:rPr>
            <w:fldChar w:fldCharType="separate"/>
          </w:r>
          <w:r>
            <w:rPr>
              <w:rFonts w:hint="eastAsia" w:ascii="Times New Roman" w:hAnsi="Times New Roman" w:eastAsia="楷体"/>
              <w:szCs w:val="24"/>
            </w:rPr>
            <w:t>聚烯烃：需求迈入淡季 聚烯烃或延续震荡整理</w:t>
          </w:r>
          <w:r>
            <w:rPr>
              <w:bCs/>
            </w:rPr>
            <w:fldChar w:fldCharType="end"/>
          </w:r>
        </w:p>
        <w:p>
          <w:pPr>
            <w:pStyle w:val="74"/>
            <w:tabs>
              <w:tab w:val="right" w:leader="dot" w:pos="8306"/>
            </w:tabs>
          </w:pPr>
          <w:r>
            <w:rPr>
              <w:bCs/>
            </w:rPr>
            <w:fldChar w:fldCharType="begin"/>
          </w:r>
          <w:r>
            <w:rPr>
              <w:bCs/>
            </w:rPr>
            <w:instrText xml:space="preserve"> HYPERLINK \l _Toc7162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需求不足累库明显，期市价格弱震荡</w:t>
          </w:r>
          <w:r>
            <w:rPr>
              <w:bCs/>
            </w:rPr>
            <w:fldChar w:fldCharType="end"/>
          </w:r>
        </w:p>
        <w:p>
          <w:pPr>
            <w:pStyle w:val="74"/>
            <w:tabs>
              <w:tab w:val="right" w:leader="dot" w:pos="8306"/>
            </w:tabs>
          </w:pPr>
          <w:r>
            <w:rPr>
              <w:bCs/>
            </w:rPr>
            <w:fldChar w:fldCharType="begin"/>
          </w:r>
          <w:r>
            <w:rPr>
              <w:bCs/>
            </w:rPr>
            <w:instrText xml:space="preserve"> HYPERLINK \l _Toc11453 </w:instrText>
          </w:r>
          <w:r>
            <w:rPr>
              <w:bCs/>
            </w:rPr>
            <w:fldChar w:fldCharType="separate"/>
          </w:r>
          <w:r>
            <w:rPr>
              <w:rFonts w:hint="eastAsia" w:ascii="Times New Roman" w:hAnsi="Times New Roman" w:eastAsia="楷体"/>
              <w:szCs w:val="24"/>
            </w:rPr>
            <w:t>纯碱：供应持续偏松下游需求收紧，期价窄幅波动</w:t>
          </w:r>
          <w:r>
            <w:rPr>
              <w:bCs/>
            </w:rPr>
            <w:fldChar w:fldCharType="end"/>
          </w:r>
        </w:p>
        <w:p>
          <w:pPr>
            <w:pStyle w:val="59"/>
            <w:tabs>
              <w:tab w:val="right" w:leader="dot" w:pos="8306"/>
            </w:tabs>
          </w:pPr>
          <w:r>
            <w:rPr>
              <w:bCs/>
            </w:rPr>
            <w:fldChar w:fldCharType="begin"/>
          </w:r>
          <w:r>
            <w:rPr>
              <w:bCs/>
            </w:rPr>
            <w:instrText xml:space="preserve"> HYPERLINK \l _Toc31403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_Toc27372 </w:instrText>
          </w:r>
          <w:r>
            <w:rPr>
              <w:bCs/>
            </w:rPr>
            <w:fldChar w:fldCharType="separate"/>
          </w:r>
          <w:r>
            <w:rPr>
              <w:rFonts w:hint="eastAsia" w:ascii="楷体" w:hAnsi="楷体" w:eastAsia="楷体"/>
              <w:bCs/>
            </w:rPr>
            <w:t>玉米与淀粉：</w:t>
          </w:r>
          <w:r>
            <w:rPr>
              <w:rFonts w:hint="eastAsia" w:ascii="楷体" w:hAnsi="楷体" w:eastAsia="楷体"/>
            </w:rPr>
            <w:t>期价出现较大幅度上涨</w:t>
          </w:r>
          <w:r>
            <w:rPr>
              <w:bCs/>
            </w:rPr>
            <w:fldChar w:fldCharType="end"/>
          </w:r>
        </w:p>
        <w:p>
          <w:pPr>
            <w:pStyle w:val="74"/>
            <w:tabs>
              <w:tab w:val="right" w:leader="dot" w:pos="8306"/>
            </w:tabs>
          </w:pPr>
          <w:r>
            <w:rPr>
              <w:bCs/>
            </w:rPr>
            <w:fldChar w:fldCharType="begin"/>
          </w:r>
          <w:r>
            <w:rPr>
              <w:bCs/>
            </w:rPr>
            <w:instrText xml:space="preserve"> HYPERLINK \l _Toc15352 </w:instrText>
          </w:r>
          <w:r>
            <w:rPr>
              <w:bCs/>
            </w:rPr>
            <w:fldChar w:fldCharType="separate"/>
          </w:r>
          <w:r>
            <w:rPr>
              <w:rFonts w:hint="eastAsia" w:ascii="楷体" w:hAnsi="楷体" w:eastAsia="楷体"/>
              <w:bCs/>
            </w:rPr>
            <w:t>畜禽养殖：鸡蛋现货带动期价上涨</w:t>
          </w:r>
          <w:r>
            <w:rPr>
              <w:bCs/>
            </w:rPr>
            <w:fldChar w:fldCharType="end"/>
          </w:r>
        </w:p>
        <w:p>
          <w:pPr>
            <w:pStyle w:val="74"/>
            <w:tabs>
              <w:tab w:val="right" w:leader="dot" w:pos="8306"/>
            </w:tabs>
          </w:pPr>
          <w:r>
            <w:rPr>
              <w:bCs/>
            </w:rPr>
            <w:fldChar w:fldCharType="begin"/>
          </w:r>
          <w:r>
            <w:rPr>
              <w:bCs/>
            </w:rPr>
            <w:instrText xml:space="preserve"> HYPERLINK \l _Toc5016 </w:instrText>
          </w:r>
          <w:r>
            <w:rPr>
              <w:bCs/>
            </w:rPr>
            <w:fldChar w:fldCharType="separate"/>
          </w:r>
          <w:r>
            <w:rPr>
              <w:rFonts w:hint="eastAsia" w:ascii="楷体" w:hAnsi="楷体" w:eastAsia="楷体"/>
              <w:bCs/>
            </w:rPr>
            <w:t>白糖：国际糖市减产幅度不确定，期价震荡运行</w:t>
          </w:r>
          <w:r>
            <w:rPr>
              <w:bCs/>
            </w:rPr>
            <w:fldChar w:fldCharType="end"/>
          </w:r>
        </w:p>
        <w:p>
          <w:pPr>
            <w:pStyle w:val="74"/>
            <w:tabs>
              <w:tab w:val="right" w:leader="dot" w:pos="8306"/>
            </w:tabs>
          </w:pPr>
          <w:r>
            <w:rPr>
              <w:bCs/>
            </w:rPr>
            <w:fldChar w:fldCharType="begin"/>
          </w:r>
          <w:r>
            <w:rPr>
              <w:bCs/>
            </w:rPr>
            <w:instrText xml:space="preserve"> HYPERLINK \l _Toc23513 </w:instrText>
          </w:r>
          <w:r>
            <w:rPr>
              <w:bCs/>
            </w:rPr>
            <w:fldChar w:fldCharType="separate"/>
          </w:r>
          <w:r>
            <w:rPr>
              <w:rFonts w:hint="eastAsia" w:ascii="楷体" w:hAnsi="楷体" w:eastAsia="楷体"/>
              <w:bCs/>
            </w:rPr>
            <w:t>棉花：美棉出口回暖，期价跳升</w:t>
          </w:r>
          <w:r>
            <w:rPr>
              <w:bCs/>
            </w:rPr>
            <w:fldChar w:fldCharType="end"/>
          </w:r>
        </w:p>
        <w:p>
          <w:pPr>
            <w:pStyle w:val="59"/>
            <w:tabs>
              <w:tab w:val="right" w:leader="dot" w:pos="8306"/>
            </w:tabs>
          </w:pPr>
          <w:r>
            <w:rPr>
              <w:bCs/>
            </w:rPr>
            <w:fldChar w:fldCharType="begin"/>
          </w:r>
          <w:r>
            <w:rPr>
              <w:bCs/>
            </w:rPr>
            <w:instrText xml:space="preserve"> HYPERLINK \l _Toc18278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_Toc25285 </w:instrText>
          </w:r>
          <w:r>
            <w:rPr>
              <w:bCs/>
            </w:rPr>
            <w:fldChar w:fldCharType="separate"/>
          </w:r>
          <w:r>
            <w:rPr>
              <w:rFonts w:hint="eastAsia" w:ascii="Times New Roman" w:hAnsi="Times New Roman" w:eastAsia="楷体"/>
              <w:szCs w:val="24"/>
            </w:rPr>
            <w:t>集运指数（欧线）：主力合约回落，远强近弱back结构收窄</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9582"/>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299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短期观望，待企稳后低多IF</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沪深两市早盘一度延续跌势，午后，沪深300指数率先翻红，中证800指数紧随其后，跌幅收窄，多只宽基ETF午后再度放量，隐含大资金承托预期。展望后市，短期调整使得A股性价比得到明显改善，有利于悲观预期出清。预计三季度股市整体区间震荡为主，重点关注7月三中全会对于中长期经济改革等表述，四季度大选后风险偏好有望提升，指数有望上台阶。风格方面，“新国九条”之后，政策导向、市场审美、企业行为正在形成正循环，政策引导资金流入科创、专精特新领域，资金审美逐渐偏向大盘核心资产，以大盘红利+科技为主线。近期大盘已出现大资金维稳动作，但临近尾盘，仍出现一定回落，预计后市仍需大资金出手干预，稳定预期。由于IC、IM盘中波动较大，单边投资者需谨慎参与，待市场企稳后考虑逐步低位布局IF多单。</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552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4972"/>
      <w:r>
        <w:rPr>
          <w:rFonts w:hint="eastAsia" w:ascii="Times New Roman" w:hAnsi="Times New Roman" w:eastAsia="楷体"/>
          <w:b/>
          <w:color w:val="000000" w:themeColor="text1"/>
          <w:sz w:val="24"/>
          <w:szCs w:val="24"/>
          <w14:textFill>
            <w14:solidFill>
              <w14:schemeClr w14:val="tx1"/>
            </w14:solidFill>
          </w14:textFill>
        </w:rPr>
        <w:t>贵金属：美联储官员表态偏鹰，贵金属价格下跌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0.13%至105.63，沪金跌0.49%至549.74元/克，沪银跌2.36%至7641元/千克。联储官员表态偏鹰令贵金属价格短线小幅承压，美联储理事鲍曼表示，预计通胀率将在一段时间内保持高位，目前还没有到降息的合适时机；随着通胀下降，将需要降息；2024年不会降息，将降息时间推迟至2025年。美联储理事库克表示，政策是具有限制性的，给需求带来了压力；劳动力市场紧张，但不过热；在某个时候降息将是合适的；预计明年通胀将大幅放缓，未来3至6个月通胀将在崎岖的道路上走低。留意周五晚间公布的美国PCE通胀数据，短线谨慎观望。</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6020"/>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4750"/>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碳酸锂：盘面波动加剧，期价探底回升</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波动加剧，盘初小幅低开后震荡下行，一度下跌约4%，触及86000元/吨的近期新低，随后午后尾盘大幅反弹，07合约收涨0.56%至90250元/吨，07合约持仓减少16898手至5.68万手。碳酸锂注册仓单增加435手至28410手，维持高位。近期主力临近交割，移仓换月行为或令波动有所加剧，基本面维持偏弱态势，关注前低支撑。</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23067"/>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铝价承压低位盘整震荡</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经济数据表现良好，联储官员发言鹰派表示降息可能会在25年，美元指数强势运行，宏观情绪承压。上游铝土矿进口有供应扰动预期，氧化铝价格坚挺需求刚性，电解铝生产成本抬升，进口铝盈利窗口持续关闭，进口补充有限，国内电解铝运行产能持续走增，产量保持高位，内需在淡季消费下游企业开工率走弱，但海外出口需求旺盛，需求表现为内需淡季趋弱，外需依旧旺盛，铝价短期内上下有限，价格低位盘整震荡。</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9971"/>
      <w:r>
        <w:rPr>
          <w:rFonts w:hint="eastAsia" w:ascii="楷体" w:hAnsi="楷体" w:eastAsia="楷体"/>
          <w:b/>
          <w:color w:val="000000" w:themeColor="text1"/>
          <w:sz w:val="24"/>
          <w:szCs w:val="24"/>
          <w14:textFill>
            <w14:solidFill>
              <w14:schemeClr w14:val="tx1"/>
            </w14:solidFill>
          </w14:textFill>
        </w:rPr>
        <w:t>锌：锌价保持震荡态势</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官员发言鹰派，短期难以期待联储降息，宏观情绪支撑走弱。锌矿TC加工费保持低位，国内矿供应走增，但对精炼锌高产原料需求依旧供应吃紧，炼厂叠加副产品生产利润保持亏损，中游加工生产积极性较低，沪伦比收窄打开进口盈利窗口，5月锌矿及精炼锌进口量环比走弱，精炼锌生产下降但仍在历史相对高位，库存高位小幅去库。矿端成本高企支撑锌价，冶炼利润下降拖累加工企业生产积极性，近期锌价快速下行带动下游采买情绪，库存高位去库，传统基建、地产板块有国家利多政策扶植支持，消费淡季或有不淡表现，短期锌价回调盘整，参考震荡区间23000-24500，建议高抛低吸参与波段行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9936"/>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：维持震荡偏弱运行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(1)库存：6月25日，SHFE仓单库存254965吨，减425吨；LME仓单库存172850吨，增5025吨。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(2)精废价差：6月25日，Mysteel精废价差1248，扩张234。目前价差在合理价差1483之下。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联储理事鲍曼再度“放鹰”，警告通胀存在上行风险，预计2024年不会有任何降息行动，美联储可能把降息时间推迟至2025年。美元指数保持偏强态势，铜价承压运行。基本面，伴随铜价下跌，精废价差明显收窄，市场上再生铜原料流通开始紧张，或再次引发对后期铜矿偏紧传导至冶炼端的预期，当前TC仍处历史极低值，限制价格继续下跌空间，但短期利多驱动有限，价格反弹驱动不强，预计维持震荡偏弱为主。</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0144"/>
      <w:r>
        <w:rPr>
          <w:rFonts w:hint="eastAsia" w:ascii="楷体" w:hAnsi="楷体" w:eastAsia="楷体"/>
          <w:b/>
          <w:color w:val="000000" w:themeColor="text1"/>
          <w:sz w:val="24"/>
          <w:szCs w:val="24"/>
          <w14:textFill>
            <w14:solidFill>
              <w14:schemeClr w14:val="tx1"/>
            </w14:solidFill>
          </w14:textFill>
        </w:rPr>
        <w:t>镍：基本面偏弱，短期镍价或偏弱震荡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2024年以来镍价运行逻辑主要受宏观情绪摆动及印尼镍矿扰动，目前宏观情绪逐渐冷却，印尼镍矿RKAB审批加快，由于审批通过与实际供应之间存在时滞，目前流通资源仍偏紧，但印尼镍矿供应不确定性逻辑带来的溢价已明显消退。原料端，近期硫酸镍价格弱势运行，一是在于中间品生产硫酸镍的成本下行；二是在于三元材料厂家继续减产，硫酸镍需求不佳。供需方面，精炼镍维持过剩格局，国产精炼镍品牌积极寻求出口，使得国内现货资源偏紧，加上镍估值回落后下游交投情绪有所好转，社库两周维持去化。从终端需求来看，在新能源汽车领域，5月中国三元材料产量环比下降20%，同比下降5%，且6月延续下降趋势，加上三元材料库存高企，对镍需求较疲软；在不锈钢领域，终端需求亦无亮点可循。综合而言，印尼镍矿现货偏紧但担忧情绪已缓解，成本支撑下滑，镍基本面仍偏弱，预计短期镍价偏弱震荡为主。</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4746"/>
      <w:r>
        <w:rPr>
          <w:rFonts w:hint="eastAsia" w:ascii="楷体" w:hAnsi="楷体" w:eastAsia="楷体"/>
          <w:b/>
          <w:color w:val="000000" w:themeColor="text1"/>
          <w:sz w:val="24"/>
          <w:szCs w:val="24"/>
          <w14:textFill>
            <w14:solidFill>
              <w14:schemeClr w14:val="tx1"/>
            </w14:solidFill>
          </w14:textFill>
        </w:rPr>
        <w:t>不锈钢：上下空间皆有限，关注钢厂排产情况</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矿端成本支撑仍在，5月印尼镍铁回流国内数量环比下降10%，但由于不锈钢需求偏弱且维持累库，钢厂对镍铁高价采购情绪减弱，镍铁价格承压运行。供需方面，目前处于不锈钢传统消费淡季，下游备库积极性较低，终端需求表现亦乏善可陈。库存方面，上周到货偏少，社库刚需去库，仓单库存仍处于历史高位。综合而言，目前不锈钢基本面难寻利多因素，成本支撑减弱，需求表现不振，仓单库存压力犹存，但由于不锈钢厂生产利润下降至成本边际，限制价格进一步下行。预计短期价格上下空间皆有限，维持窄幅震荡为主，关注不锈钢厂减产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396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基本面宽松预期，盘面延续下行</w:t>
      </w:r>
      <w:bookmarkEnd w:id="25"/>
    </w:p>
    <w:p>
      <w:pPr>
        <w:ind w:left="630" w:leftChars="300"/>
        <w:rPr>
          <w:rFonts w:ascii="楷体" w:hAnsi="楷体" w:eastAsia="楷体"/>
          <w:sz w:val="24"/>
          <w:szCs w:val="24"/>
        </w:rPr>
      </w:pPr>
      <w:r>
        <w:rPr>
          <w:rFonts w:hint="eastAsia" w:ascii="楷体" w:hAnsi="楷体" w:eastAsia="楷体"/>
          <w:sz w:val="24"/>
          <w:szCs w:val="24"/>
        </w:rPr>
        <w:t>6月25日，Si2409主力合约延续下行走势，收盘价11305元/吨，较上一收盘价涨跌幅-0.83%，盘中再创上市以来新低。此前，受宏观情绪提振，工业硅盘面出现一轮明显反弹，但近期随着宏观情绪转弱，盘面定价回归基本面逻辑，当前基本面依旧处于宽松格局，使得盘面再度呈现明显下跌行情。目前，行业整体依旧存在供增需减预期，宽松格局或较难迎来扭转，预计盘面或将偏弱运行。策略上，建议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3213"/>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8725"/>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供应逐步上量 天胶成本支撑减弱</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全球产区降水预期偏强，中长期对割胶工作有利，总供应上量预期明显，目前原料价格有所下滑，产量拐点仍需进一步观察。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回落，对胶价底部支撑减弱。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17347"/>
      <w:r>
        <w:rPr>
          <w:rFonts w:hint="eastAsia" w:ascii="Times New Roman" w:hAnsi="Times New Roman" w:eastAsia="楷体"/>
          <w:b/>
          <w:color w:val="000000" w:themeColor="text1"/>
          <w:sz w:val="24"/>
          <w:szCs w:val="24"/>
          <w14:textFill>
            <w14:solidFill>
              <w14:schemeClr w14:val="tx1"/>
            </w14:solidFill>
          </w14:textFill>
        </w:rPr>
        <w:t>聚烯烃：需求迈入淡季 聚烯烃或延续震荡整理</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7162"/>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需求不足累库明显，期市价格弱震荡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玻璃本日盘收盘价为1551元/吨，轻微反弹0.19%，昨夜盘收1541继续延续下行行情。现货方面，浮法玻璃河北沙河大板现货再次轻微下跌32元/吨至1472元/吨（-2.13%），跌幅扩大。库存方面，玻璃在产企业总库存为5982.7万重量箱，环比上周上升169万重量箱（2.91%）。5月地产数据延续低迷态势，竣工和销售累计增速依然疲软。政策出台后，二手房成交有好转，但近期二手房再次出现一定降温。新房销售差，地产资金压力依然较大，对竣工的兑现会有牵制。加工订单方面，原片价格上涨未成功传导至下游，加工厂利润压缩，下游订单环比走弱。</w:t>
      </w:r>
    </w:p>
    <w:p>
      <w:pPr>
        <w:ind w:left="630" w:leftChars="300"/>
        <w:rPr>
          <w:rFonts w:hint="eastAsia" w:ascii="楷体" w:hAnsi="楷体" w:eastAsia="楷体"/>
          <w:sz w:val="24"/>
          <w:szCs w:val="24"/>
        </w:rPr>
      </w:pPr>
      <w:r>
        <w:rPr>
          <w:rFonts w:hint="eastAsia" w:ascii="楷体" w:hAnsi="楷体" w:eastAsia="楷体"/>
          <w:sz w:val="24"/>
          <w:szCs w:val="24"/>
        </w:rPr>
        <w:t>总体来看，6月市场情绪回落，叠加地产数据打压期货盘面，前期政策利多因素消化后玻璃期货转为交易现实。库存本周大幅上升，期价受压，短期内预计持续偏弱建议观望。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11453"/>
      <w:r>
        <w:rPr>
          <w:rFonts w:hint="eastAsia" w:ascii="Times New Roman" w:hAnsi="Times New Roman" w:eastAsia="楷体"/>
          <w:b/>
          <w:color w:val="000000" w:themeColor="text1"/>
          <w:sz w:val="24"/>
          <w:szCs w:val="24"/>
          <w14:textFill>
            <w14:solidFill>
              <w14:schemeClr w14:val="tx1"/>
            </w14:solidFill>
          </w14:textFill>
        </w:rPr>
        <w:t>纯碱：供应持续偏松下游需求收紧，期价窄幅波动</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日盘纯碱主力合约收盘2028元/吨，下跌2.17%，昨夜盘收盘2033，轻微反弹10个点，总体窄幅震荡。现货来看，今日国内价格保持稳定；随着前期检修企业恢复生产，纯碱供应将有所增加；部分厂家库存增加，纯碱市场偏弱运行。</w:t>
      </w:r>
    </w:p>
    <w:p>
      <w:pPr>
        <w:ind w:left="630" w:leftChars="300"/>
        <w:rPr>
          <w:rFonts w:hint="eastAsia" w:ascii="楷体" w:hAnsi="楷体" w:eastAsia="楷体"/>
          <w:sz w:val="24"/>
          <w:szCs w:val="24"/>
        </w:rPr>
      </w:pPr>
      <w:r>
        <w:rPr>
          <w:rFonts w:hint="eastAsia" w:ascii="楷体" w:hAnsi="楷体" w:eastAsia="楷体"/>
          <w:sz w:val="24"/>
          <w:szCs w:val="24"/>
        </w:rPr>
        <w:t>基本面，本周纯碱行业开工约89.18%，环比上升2.9%。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另外，5.17房地产新政发布之后，楼市尚未出现明显回暖，各线城市房价仍处于环比下降。</w:t>
      </w:r>
    </w:p>
    <w:p>
      <w:pPr>
        <w:ind w:left="630" w:leftChars="300"/>
        <w:rPr>
          <w:rFonts w:ascii="楷体" w:hAnsi="楷体" w:eastAsia="楷体"/>
          <w:sz w:val="24"/>
          <w:szCs w:val="24"/>
        </w:rPr>
      </w:pPr>
      <w:r>
        <w:rPr>
          <w:rFonts w:hint="eastAsia" w:ascii="楷体" w:hAnsi="楷体" w:eastAsia="楷体"/>
          <w:sz w:val="24"/>
          <w:szCs w:val="24"/>
        </w:rPr>
        <w:t>目前，上周基本面边际好转后的反弹行情并未出现驱动承接，短期预计纯碱现货价格偏弱，后市仍需主要关注供应端变动情况。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31403"/>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2737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期价出现较大幅度上涨</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市场依然担心东北产区玉米高价往下游传导的问题，因玉米产销区价差与华北-东北玉米价差持续处于历史同期低位，当前市场担忧主要集中在陈化水稻投放和新作小麦上市两个层面，在我们看来，陈稻层面国家没有动力/意愿降价抛储，这意味着在当前期现货水平下陈稻即使抛储亦不能带来实质供应；而新作小麦层面则一方面产量不及预期，另一方面国家启动增储收购，这有望使得小麦饲用替代量受限，因此，我们倾向于国内玉米产需缺口有望逐步显现。当然，考虑到当前期价更贴近北方港口甚至东北产区现货价格，仍需要现货特别是华北产区和南方销区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如期走扩，我们倾向于认为这一趋势短期有望延续，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建议投资者持有前期单边多单及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15352"/>
      <w:r>
        <w:rPr>
          <w:rFonts w:hint="eastAsia" w:ascii="楷体" w:hAnsi="楷体" w:eastAsia="楷体"/>
          <w:b/>
          <w:bCs/>
          <w:color w:val="000000" w:themeColor="text1"/>
          <w14:textFill>
            <w14:solidFill>
              <w14:schemeClr w14:val="tx1"/>
            </w14:solidFill>
          </w14:textFill>
        </w:rPr>
        <w:t>畜禽养殖：鸡蛋现货带动期价上涨</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生猪和能繁母猪存栏下滑，合理预计接下来直至四季度生猪出栏量环比与同比下滑，但由于生产效率（如配种分娩率对冲产能去化的影响）、饲料成本（相同养殖利润下生猪绝对价格下滑）和生猪出栏体重（在一定程度上对冲出栏量下降对猪肉供应量的影响）等因素，在一定程度上使得市场对猪价高点预期弱于2022年。五月以来的现货上涨过程中，养殖户有压栏情况且二次育肥积极入场，导致出栏量持续环比下降，宰后均重上升，现货表现强势，但市场担心供应后移其实不利于后期期现货表现，甚至担心端午节需求释放之后现货或出现回落，这体现在期价特别是近月深度贴水现货上。六月中旬以来现货逐步转弱，主要源于猪价高企对需求的压制及其气温上升对压栏/二次育肥的影响。值得留意的是，如果市场能阶段性出栏带动体重下降，或反而有利于后期猪价上涨，因从新生仔猪数量推算，三季度生猪出栏数量仍将继续环比下滑。据此我们中期谨慎看多，短期观点转为谨慎看多，建议谨慎投资者观望为宜，激进投资者可考虑做多2409合约。</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五月中以来的鸡蛋现货超预期上涨可能带来市场对供需预期的分歧，除去需求端增量即南方持续降雨带来蔬菜缺口继而催生鸡蛋阶段性补库之外，还可能表明供应端亦不及市场之前预期，因多家机构数据均显示去年底以来蛋鸡淘汰量同比大幅增加。接下来需要重点关注两个方面，其一是饲料原料端即豆粕和玉米走势，因饲料在鸡蛋养殖成本中占比较大；其二是现货走势，因市场将据之来判断行业供需格局，特别是5月现货大幅上涨已经带来市场较大分歧的情况下。综上所述，我们暂维持中性观点，建议投资者观望为宜，可考虑轻仓择机入场做多旺季合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5016"/>
      <w:r>
        <w:rPr>
          <w:rFonts w:hint="eastAsia" w:ascii="楷体" w:hAnsi="楷体" w:eastAsia="楷体"/>
          <w:b/>
          <w:bCs/>
          <w:color w:val="000000" w:themeColor="text1"/>
          <w14:textFill>
            <w14:solidFill>
              <w14:schemeClr w14:val="tx1"/>
            </w14:solidFill>
          </w14:textFill>
        </w:rPr>
        <w:t>白糖：国际糖市减产幅度不确定，期价震荡运行</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原糖主力合约和伦敦白砂糖主力合约分别下跌0.86%和1.18%，下跌幅度达上一交易日涨幅的一半。糖业生产商Tereos认为，尽管巴西主要产区遭遇干旱，但预计24/25榨季糖产量能与上榨季持平，糖供应依旧充足。另外，因火灾停运的巴西桑托斯港已恢复运作。欧洲市场方面，由于天气不佳，欧盟农作物监测服务机构MARS下调甜菜单产预估。预计外盘近期震荡运行。昨日夜盘白糖主力合约下跌0.39%，国内方面暂无明显信号，内盘跟随外盘变动，暂观望。</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23513"/>
      <w:r>
        <w:rPr>
          <w:rFonts w:hint="eastAsia" w:ascii="楷体" w:hAnsi="楷体" w:eastAsia="楷体"/>
          <w:b/>
          <w:bCs/>
          <w:color w:val="000000" w:themeColor="text1"/>
          <w14:textFill>
            <w14:solidFill>
              <w14:schemeClr w14:val="tx1"/>
            </w14:solidFill>
          </w14:textFill>
        </w:rPr>
        <w:t>棉花：美棉出口回暖，期价跳升</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昨日美棉跳升2.34%，已达近三周高位。美棉出口签约量略有缩减，净销量回落至30.08万包，装运量则继续攀升。 USDA 周五公布的出口销售报告显示，6月13日止当周，美国当前市场年度棉花出口销售净增18.90万包，较之前一周增加7%；美国下一市场年度棉花出口销售净增11.18万包。当周，美国棉花出口装船为19.79万包，较之前一周增加6%,向中国大陆出口装船7.8万包。国内昨日夜盘棉花和棉纱主力合约分别上涨1.10%和1.56%。目前国内难见利好驱动，需要等待更明确的利多信号。</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18278"/>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25285"/>
      <w:r>
        <w:rPr>
          <w:rFonts w:hint="eastAsia" w:ascii="Times New Roman" w:hAnsi="Times New Roman" w:eastAsia="楷体"/>
          <w:b/>
          <w:color w:val="000000" w:themeColor="text1"/>
          <w:sz w:val="24"/>
          <w:szCs w:val="24"/>
          <w14:textFill>
            <w14:solidFill>
              <w14:schemeClr w14:val="tx1"/>
            </w14:solidFill>
          </w14:textFill>
        </w:rPr>
        <w:t>集运指数（欧线）：主力合约回落，远强近弱back结构收窄</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现货方面，6月24日，上海港出口至欧洲基本港市场运价（SCFI欧线）为4336美元/TEU，较上期上涨3.8%，保持上涨势头。6月24日盘后公布，SCFIS欧线最新为4765.87点，环比上涨1.65%，实际结算运价有所支撑。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应端来看，随着旺季出货需求提升，三大联盟在欧线新增了合计周均运力1.8万TEU，相当于当前欧线运力的6%，以满足需求并提高收益。尽管船司面临船舶无法按时返回上海港导致的被动空班情况，但运费仍将维持高位，而港口拥堵虽有发生但未形成连锁反应。</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另外，船司们继续提价支撑近月合约：马士基开放第27周试舱价格，其中上海——安特卫普开舱价格大柜8000美金，对应SCFIS股指在5400点左右。</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欧洲经济研究所(ZEW)发布的数据显示，欧元区6月ZEW经济景气指数为51.3，好于市场预期及前值，创2021年7月以来的新高，数据显示欧洲经济继续保持平稳增长，有利于对欧洲航线的运输需求起到支撑作用。</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总体来看，近月合约受到现货支撑，目前跟随实际报价走动，远月合约不确定性较强，波动更大，建议投资者谨慎操作。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98426751"/>
      <w:bookmarkStart w:id="40" w:name="_Toc71212556"/>
      <w:bookmarkStart w:id="41" w:name="_Toc12779"/>
      <w:bookmarkStart w:id="42" w:name="_Toc72481108"/>
      <w:bookmarkStart w:id="43" w:name="_Toc19667"/>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2024年6月26日星期三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73F75CC"/>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BF13F0"/>
    <w:rsid w:val="49D75468"/>
    <w:rsid w:val="49E169F0"/>
    <w:rsid w:val="4A4A74EF"/>
    <w:rsid w:val="4A6F6249"/>
    <w:rsid w:val="4AA77B51"/>
    <w:rsid w:val="4AB74C38"/>
    <w:rsid w:val="4B14426D"/>
    <w:rsid w:val="4B6224E5"/>
    <w:rsid w:val="4B8C4A56"/>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1266B84"/>
    <w:rsid w:val="51642661"/>
    <w:rsid w:val="5191036A"/>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713929"/>
    <w:rsid w:val="78E55995"/>
    <w:rsid w:val="79267C0B"/>
    <w:rsid w:val="793F61E8"/>
    <w:rsid w:val="79C90FB7"/>
    <w:rsid w:val="7A25684F"/>
    <w:rsid w:val="7A4975BA"/>
    <w:rsid w:val="7A5B105F"/>
    <w:rsid w:val="7A9E5DA7"/>
    <w:rsid w:val="7ABE4B56"/>
    <w:rsid w:val="7B264F79"/>
    <w:rsid w:val="7B3E5659"/>
    <w:rsid w:val="7B4D21AB"/>
    <w:rsid w:val="7BCC4162"/>
    <w:rsid w:val="7C490DB7"/>
    <w:rsid w:val="7C7E37F7"/>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2024-06-26T01:31:42Z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