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_Toc2406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_Toc22247 </w:instrText>
          </w:r>
          <w:r>
            <w:rPr>
              <w:bCs/>
            </w:rPr>
            <w:fldChar w:fldCharType="separate"/>
          </w:r>
          <w:r>
            <w:rPr>
              <w:rFonts w:hint="eastAsia" w:ascii="Times New Roman" w:hAnsi="Times New Roman" w:eastAsia="楷体"/>
              <w:szCs w:val="24"/>
            </w:rPr>
            <w:t>股指：短期观望，待企稳后低多IF</w:t>
          </w:r>
          <w:r>
            <w:rPr>
              <w:bCs/>
            </w:rPr>
            <w:fldChar w:fldCharType="end"/>
          </w:r>
        </w:p>
        <w:p>
          <w:pPr>
            <w:pStyle w:val="59"/>
            <w:tabs>
              <w:tab w:val="right" w:leader="dot" w:pos="8306"/>
            </w:tabs>
          </w:pPr>
          <w:r>
            <w:rPr>
              <w:bCs/>
            </w:rPr>
            <w:fldChar w:fldCharType="begin"/>
          </w:r>
          <w:r>
            <w:rPr>
              <w:bCs/>
            </w:rPr>
            <w:instrText xml:space="preserve"> HYPERLINK \l _Toc25108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_Toc2924 </w:instrText>
          </w:r>
          <w:r>
            <w:rPr>
              <w:bCs/>
            </w:rPr>
            <w:fldChar w:fldCharType="separate"/>
          </w:r>
          <w:r>
            <w:rPr>
              <w:rFonts w:hint="eastAsia" w:ascii="Times New Roman" w:hAnsi="Times New Roman" w:eastAsia="楷体"/>
              <w:szCs w:val="24"/>
            </w:rPr>
            <w:t>贵金属：人民币汇率小幅调贬，贵金属价格窄幅震荡</w:t>
          </w:r>
          <w:r>
            <w:rPr>
              <w:bCs/>
            </w:rPr>
            <w:fldChar w:fldCharType="end"/>
          </w:r>
        </w:p>
        <w:p>
          <w:pPr>
            <w:pStyle w:val="59"/>
            <w:tabs>
              <w:tab w:val="right" w:leader="dot" w:pos="8306"/>
            </w:tabs>
          </w:pPr>
          <w:r>
            <w:rPr>
              <w:bCs/>
            </w:rPr>
            <w:fldChar w:fldCharType="begin"/>
          </w:r>
          <w:r>
            <w:rPr>
              <w:bCs/>
            </w:rPr>
            <w:instrText xml:space="preserve"> HYPERLINK \l _Toc31995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_Toc13562 </w:instrText>
          </w:r>
          <w:r>
            <w:rPr>
              <w:bCs/>
            </w:rPr>
            <w:fldChar w:fldCharType="separate"/>
          </w:r>
          <w:r>
            <w:rPr>
              <w:rFonts w:hint="eastAsia" w:ascii="楷体" w:hAnsi="楷体" w:eastAsia="楷体"/>
              <w:szCs w:val="24"/>
            </w:rPr>
            <w:t>碳酸锂：仓单维持高位令盘面承压，期价大幅下跌</w:t>
          </w:r>
          <w:r>
            <w:rPr>
              <w:bCs/>
            </w:rPr>
            <w:fldChar w:fldCharType="end"/>
          </w:r>
        </w:p>
        <w:p>
          <w:pPr>
            <w:pStyle w:val="74"/>
            <w:tabs>
              <w:tab w:val="right" w:leader="dot" w:pos="8306"/>
            </w:tabs>
          </w:pPr>
          <w:r>
            <w:rPr>
              <w:bCs/>
            </w:rPr>
            <w:fldChar w:fldCharType="begin"/>
          </w:r>
          <w:r>
            <w:rPr>
              <w:bCs/>
            </w:rPr>
            <w:instrText xml:space="preserve"> HYPERLINK \l _Toc9896 </w:instrText>
          </w:r>
          <w:r>
            <w:rPr>
              <w:bCs/>
            </w:rPr>
            <w:fldChar w:fldCharType="separate"/>
          </w:r>
          <w:r>
            <w:rPr>
              <w:rFonts w:hint="eastAsia" w:ascii="楷体" w:hAnsi="楷体" w:eastAsia="楷体"/>
              <w:szCs w:val="24"/>
            </w:rPr>
            <w:t>铝：铝价低位盘整，观望下方支撑</w:t>
          </w:r>
          <w:r>
            <w:rPr>
              <w:bCs/>
            </w:rPr>
            <w:fldChar w:fldCharType="end"/>
          </w:r>
        </w:p>
        <w:p>
          <w:pPr>
            <w:pStyle w:val="74"/>
            <w:tabs>
              <w:tab w:val="right" w:leader="dot" w:pos="8306"/>
            </w:tabs>
          </w:pPr>
          <w:r>
            <w:rPr>
              <w:bCs/>
            </w:rPr>
            <w:fldChar w:fldCharType="begin"/>
          </w:r>
          <w:r>
            <w:rPr>
              <w:bCs/>
            </w:rPr>
            <w:instrText xml:space="preserve"> HYPERLINK \l _Toc1419 </w:instrText>
          </w:r>
          <w:r>
            <w:rPr>
              <w:bCs/>
            </w:rPr>
            <w:fldChar w:fldCharType="separate"/>
          </w:r>
          <w:r>
            <w:rPr>
              <w:rFonts w:hint="eastAsia" w:ascii="楷体" w:hAnsi="楷体" w:eastAsia="楷体"/>
              <w:szCs w:val="24"/>
            </w:rPr>
            <w:t>锌：锌价区间震荡保持波段行情</w:t>
          </w:r>
          <w:r>
            <w:rPr>
              <w:bCs/>
            </w:rPr>
            <w:fldChar w:fldCharType="end"/>
          </w:r>
        </w:p>
        <w:p>
          <w:pPr>
            <w:pStyle w:val="74"/>
            <w:tabs>
              <w:tab w:val="right" w:leader="dot" w:pos="8306"/>
            </w:tabs>
          </w:pPr>
          <w:r>
            <w:rPr>
              <w:bCs/>
            </w:rPr>
            <w:fldChar w:fldCharType="begin"/>
          </w:r>
          <w:r>
            <w:rPr>
              <w:bCs/>
            </w:rPr>
            <w:instrText xml:space="preserve"> HYPERLINK \l _Toc2633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：短期驱动有限，价格维持震荡偏弱</w:t>
          </w:r>
          <w:r>
            <w:rPr>
              <w:bCs/>
            </w:rPr>
            <w:fldChar w:fldCharType="end"/>
          </w:r>
        </w:p>
        <w:p>
          <w:pPr>
            <w:pStyle w:val="74"/>
            <w:tabs>
              <w:tab w:val="right" w:leader="dot" w:pos="8306"/>
            </w:tabs>
          </w:pPr>
          <w:r>
            <w:rPr>
              <w:bCs/>
            </w:rPr>
            <w:fldChar w:fldCharType="begin"/>
          </w:r>
          <w:r>
            <w:rPr>
              <w:bCs/>
            </w:rPr>
            <w:instrText xml:space="preserve"> HYPERLINK \l _Toc8265 </w:instrText>
          </w:r>
          <w:r>
            <w:rPr>
              <w:bCs/>
            </w:rPr>
            <w:fldChar w:fldCharType="separate"/>
          </w:r>
          <w:r>
            <w:rPr>
              <w:rFonts w:hint="eastAsia" w:ascii="楷体" w:hAnsi="楷体" w:eastAsia="楷体"/>
              <w:szCs w:val="24"/>
            </w:rPr>
            <w:t>镍：短期镍价或偏弱震荡</w:t>
          </w:r>
          <w:r>
            <w:rPr>
              <w:bCs/>
            </w:rPr>
            <w:fldChar w:fldCharType="end"/>
          </w:r>
        </w:p>
        <w:p>
          <w:pPr>
            <w:pStyle w:val="74"/>
            <w:tabs>
              <w:tab w:val="right" w:leader="dot" w:pos="8306"/>
            </w:tabs>
          </w:pPr>
          <w:r>
            <w:rPr>
              <w:bCs/>
            </w:rPr>
            <w:fldChar w:fldCharType="begin"/>
          </w:r>
          <w:r>
            <w:rPr>
              <w:bCs/>
            </w:rPr>
            <w:instrText xml:space="preserve"> HYPERLINK \l _Toc6220 </w:instrText>
          </w:r>
          <w:r>
            <w:rPr>
              <w:bCs/>
            </w:rPr>
            <w:fldChar w:fldCharType="separate"/>
          </w:r>
          <w:r>
            <w:rPr>
              <w:rFonts w:hint="eastAsia" w:ascii="楷体" w:hAnsi="楷体" w:eastAsia="楷体"/>
              <w:szCs w:val="24"/>
            </w:rPr>
            <w:t>不锈钢：上下空间皆有限，关注钢厂排产情况</w:t>
          </w:r>
          <w:r>
            <w:rPr>
              <w:bCs/>
            </w:rPr>
            <w:fldChar w:fldCharType="end"/>
          </w:r>
        </w:p>
        <w:p>
          <w:pPr>
            <w:pStyle w:val="74"/>
            <w:tabs>
              <w:tab w:val="right" w:leader="dot" w:pos="8306"/>
            </w:tabs>
          </w:pPr>
          <w:r>
            <w:rPr>
              <w:bCs/>
            </w:rPr>
            <w:fldChar w:fldCharType="begin"/>
          </w:r>
          <w:r>
            <w:rPr>
              <w:bCs/>
            </w:rPr>
            <w:instrText xml:space="preserve"> HYPERLINK \l _Toc20013 </w:instrText>
          </w:r>
          <w:r>
            <w:rPr>
              <w:bCs/>
            </w:rPr>
            <w:fldChar w:fldCharType="separate"/>
          </w:r>
          <w:r>
            <w:rPr>
              <w:rFonts w:hint="eastAsia" w:ascii="楷体" w:hAnsi="楷体" w:eastAsia="楷体"/>
              <w:szCs w:val="24"/>
            </w:rPr>
            <w:t>工业硅：基本面宽松预期，盘面大幅下行</w:t>
          </w:r>
          <w:r>
            <w:rPr>
              <w:bCs/>
            </w:rPr>
            <w:fldChar w:fldCharType="end"/>
          </w:r>
        </w:p>
        <w:p>
          <w:pPr>
            <w:pStyle w:val="59"/>
            <w:tabs>
              <w:tab w:val="right" w:leader="dot" w:pos="8306"/>
            </w:tabs>
          </w:pPr>
          <w:r>
            <w:rPr>
              <w:bCs/>
            </w:rPr>
            <w:fldChar w:fldCharType="begin"/>
          </w:r>
          <w:r>
            <w:rPr>
              <w:bCs/>
            </w:rPr>
            <w:instrText xml:space="preserve"> HYPERLINK \l _Toc12031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_Toc12443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供应逐步上量 天胶成本支撑减弱</w:t>
          </w:r>
          <w:r>
            <w:rPr>
              <w:bCs/>
            </w:rPr>
            <w:fldChar w:fldCharType="end"/>
          </w:r>
        </w:p>
        <w:p>
          <w:pPr>
            <w:pStyle w:val="74"/>
            <w:tabs>
              <w:tab w:val="right" w:leader="dot" w:pos="8306"/>
            </w:tabs>
          </w:pPr>
          <w:r>
            <w:rPr>
              <w:bCs/>
            </w:rPr>
            <w:fldChar w:fldCharType="begin"/>
          </w:r>
          <w:r>
            <w:rPr>
              <w:bCs/>
            </w:rPr>
            <w:instrText xml:space="preserve"> HYPERLINK \l _Toc32061 </w:instrText>
          </w:r>
          <w:r>
            <w:rPr>
              <w:bCs/>
            </w:rPr>
            <w:fldChar w:fldCharType="separate"/>
          </w:r>
          <w:r>
            <w:rPr>
              <w:rFonts w:hint="eastAsia" w:ascii="Times New Roman" w:hAnsi="Times New Roman" w:eastAsia="楷体"/>
              <w:szCs w:val="24"/>
            </w:rPr>
            <w:t>聚烯烃：需求迈入淡季 聚烯烃或延续震荡整理</w:t>
          </w:r>
          <w:r>
            <w:rPr>
              <w:bCs/>
            </w:rPr>
            <w:fldChar w:fldCharType="end"/>
          </w:r>
        </w:p>
        <w:p>
          <w:pPr>
            <w:pStyle w:val="74"/>
            <w:tabs>
              <w:tab w:val="right" w:leader="dot" w:pos="8306"/>
            </w:tabs>
          </w:pPr>
          <w:r>
            <w:rPr>
              <w:bCs/>
            </w:rPr>
            <w:fldChar w:fldCharType="begin"/>
          </w:r>
          <w:r>
            <w:rPr>
              <w:bCs/>
            </w:rPr>
            <w:instrText xml:space="preserve"> HYPERLINK \l _Toc10727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期货价格低位反弹，基本面仍保持偏弱</w:t>
          </w:r>
          <w:r>
            <w:rPr>
              <w:bCs/>
            </w:rPr>
            <w:fldChar w:fldCharType="end"/>
          </w:r>
        </w:p>
        <w:p>
          <w:pPr>
            <w:pStyle w:val="74"/>
            <w:tabs>
              <w:tab w:val="right" w:leader="dot" w:pos="8306"/>
            </w:tabs>
          </w:pPr>
          <w:r>
            <w:rPr>
              <w:bCs/>
            </w:rPr>
            <w:fldChar w:fldCharType="begin"/>
          </w:r>
          <w:r>
            <w:rPr>
              <w:bCs/>
            </w:rPr>
            <w:instrText xml:space="preserve"> HYPERLINK \l _Toc5991 </w:instrText>
          </w:r>
          <w:r>
            <w:rPr>
              <w:bCs/>
            </w:rPr>
            <w:fldChar w:fldCharType="separate"/>
          </w:r>
          <w:r>
            <w:rPr>
              <w:rFonts w:hint="eastAsia" w:ascii="Times New Roman" w:hAnsi="Times New Roman" w:eastAsia="楷体"/>
              <w:szCs w:val="24"/>
            </w:rPr>
            <w:t>纯碱：供应持续偏松，SA合约低位运行</w:t>
          </w:r>
          <w:r>
            <w:rPr>
              <w:bCs/>
            </w:rPr>
            <w:fldChar w:fldCharType="end"/>
          </w:r>
        </w:p>
        <w:p>
          <w:pPr>
            <w:pStyle w:val="59"/>
            <w:tabs>
              <w:tab w:val="right" w:leader="dot" w:pos="8306"/>
            </w:tabs>
          </w:pPr>
          <w:r>
            <w:rPr>
              <w:bCs/>
            </w:rPr>
            <w:fldChar w:fldCharType="begin"/>
          </w:r>
          <w:r>
            <w:rPr>
              <w:bCs/>
            </w:rPr>
            <w:instrText xml:space="preserve"> HYPERLINK \l _Toc13024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_Toc14648 </w:instrText>
          </w:r>
          <w:r>
            <w:rPr>
              <w:bCs/>
            </w:rPr>
            <w:fldChar w:fldCharType="separate"/>
          </w:r>
          <w:r>
            <w:rPr>
              <w:rFonts w:hint="eastAsia" w:ascii="楷体" w:hAnsi="楷体" w:eastAsia="楷体"/>
              <w:bCs/>
            </w:rPr>
            <w:t>玉米与淀粉：</w:t>
          </w:r>
          <w:r>
            <w:rPr>
              <w:rFonts w:hint="eastAsia" w:ascii="楷体" w:hAnsi="楷体" w:eastAsia="楷体"/>
            </w:rPr>
            <w:t>期价出现较大幅度上涨</w:t>
          </w:r>
          <w:r>
            <w:rPr>
              <w:bCs/>
            </w:rPr>
            <w:fldChar w:fldCharType="end"/>
          </w:r>
        </w:p>
        <w:p>
          <w:pPr>
            <w:pStyle w:val="74"/>
            <w:tabs>
              <w:tab w:val="right" w:leader="dot" w:pos="8306"/>
            </w:tabs>
          </w:pPr>
          <w:r>
            <w:rPr>
              <w:bCs/>
            </w:rPr>
            <w:fldChar w:fldCharType="begin"/>
          </w:r>
          <w:r>
            <w:rPr>
              <w:bCs/>
            </w:rPr>
            <w:instrText xml:space="preserve"> HYPERLINK \l _Toc19927 </w:instrText>
          </w:r>
          <w:r>
            <w:rPr>
              <w:bCs/>
            </w:rPr>
            <w:fldChar w:fldCharType="separate"/>
          </w:r>
          <w:r>
            <w:rPr>
              <w:rFonts w:hint="eastAsia" w:ascii="楷体" w:hAnsi="楷体" w:eastAsia="楷体"/>
              <w:bCs/>
            </w:rPr>
            <w:t>畜禽养殖：鸡蛋现货带动期价上涨</w:t>
          </w:r>
          <w:r>
            <w:rPr>
              <w:bCs/>
            </w:rPr>
            <w:fldChar w:fldCharType="end"/>
          </w:r>
        </w:p>
        <w:p>
          <w:pPr>
            <w:pStyle w:val="74"/>
            <w:tabs>
              <w:tab w:val="right" w:leader="dot" w:pos="8306"/>
            </w:tabs>
          </w:pPr>
          <w:r>
            <w:rPr>
              <w:bCs/>
            </w:rPr>
            <w:fldChar w:fldCharType="begin"/>
          </w:r>
          <w:r>
            <w:rPr>
              <w:bCs/>
            </w:rPr>
            <w:instrText xml:space="preserve"> HYPERLINK \l _Toc17211 </w:instrText>
          </w:r>
          <w:r>
            <w:rPr>
              <w:bCs/>
            </w:rPr>
            <w:fldChar w:fldCharType="separate"/>
          </w:r>
          <w:r>
            <w:rPr>
              <w:rFonts w:hint="eastAsia" w:ascii="楷体" w:hAnsi="楷体" w:eastAsia="楷体"/>
              <w:bCs/>
            </w:rPr>
            <w:t>白糖：巴西雷亚尔贬值刺激出口，外盘反弹收高</w:t>
          </w:r>
          <w:r>
            <w:rPr>
              <w:bCs/>
            </w:rPr>
            <w:fldChar w:fldCharType="end"/>
          </w:r>
        </w:p>
        <w:p>
          <w:pPr>
            <w:pStyle w:val="74"/>
            <w:tabs>
              <w:tab w:val="right" w:leader="dot" w:pos="8306"/>
            </w:tabs>
          </w:pPr>
          <w:r>
            <w:rPr>
              <w:bCs/>
            </w:rPr>
            <w:fldChar w:fldCharType="begin"/>
          </w:r>
          <w:r>
            <w:rPr>
              <w:bCs/>
            </w:rPr>
            <w:instrText xml:space="preserve"> HYPERLINK \l _Toc2747 </w:instrText>
          </w:r>
          <w:r>
            <w:rPr>
              <w:bCs/>
            </w:rPr>
            <w:fldChar w:fldCharType="separate"/>
          </w:r>
          <w:r>
            <w:rPr>
              <w:rFonts w:hint="eastAsia" w:ascii="楷体" w:hAnsi="楷体" w:eastAsia="楷体"/>
              <w:bCs/>
            </w:rPr>
            <w:t>棉花：美棉出口回暖，期价上涨</w:t>
          </w:r>
          <w:r>
            <w:rPr>
              <w:bCs/>
            </w:rPr>
            <w:fldChar w:fldCharType="end"/>
          </w:r>
        </w:p>
        <w:p>
          <w:pPr>
            <w:pStyle w:val="59"/>
            <w:tabs>
              <w:tab w:val="right" w:leader="dot" w:pos="8306"/>
            </w:tabs>
          </w:pPr>
          <w:r>
            <w:rPr>
              <w:bCs/>
            </w:rPr>
            <w:fldChar w:fldCharType="begin"/>
          </w:r>
          <w:r>
            <w:rPr>
              <w:bCs/>
            </w:rPr>
            <w:instrText xml:space="preserve"> HYPERLINK \l _Toc14569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_Toc27970 </w:instrText>
          </w:r>
          <w:r>
            <w:rPr>
              <w:bCs/>
            </w:rPr>
            <w:fldChar w:fldCharType="separate"/>
          </w:r>
          <w:r>
            <w:rPr>
              <w:rFonts w:hint="eastAsia" w:ascii="Times New Roman" w:hAnsi="Times New Roman" w:eastAsia="楷体"/>
              <w:szCs w:val="24"/>
            </w:rPr>
            <w:t>集运指数（欧线）：缺舱缺箱港口拥堵持续，EC站稳5000点以上</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40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2247"/>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短期观望，待企稳后低多IF</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沪深两市早盘一度延续跌势，午后，沪深300指数率先翻红，中证800指数紧随其后，跌幅收窄，多只宽基ETF午后再度放量，隐含大资金承托预期。展望后市，短期调整使得A股性价比得到明显改善，有利于悲观预期出清。预计三季度股市整体区间震荡为主，重点关注7月三中全会对于中长期经济改革等表述，四季度大选后风险偏好有望提升，指数有望上台阶。风格方面，“新国九条”之后，政策导向、市场审美、企业行为正在形成正循环，政策引导资金流入科创、专精特新领域，资金审美逐渐偏向大盘核心资产，以大盘红利+科技为主线。近期大盘已出现大资金维稳动作，但临近尾盘，仍出现一定回落，预计后市仍需大资金出手干预，稳定预期。由于IC、IM盘中波动较大，单边投资者需谨慎参与，待市场企稳后考虑逐步低位布局IF多单。</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5108"/>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924"/>
      <w:r>
        <w:rPr>
          <w:rFonts w:hint="eastAsia" w:ascii="Times New Roman" w:hAnsi="Times New Roman" w:eastAsia="楷体"/>
          <w:b/>
          <w:color w:val="000000" w:themeColor="text1"/>
          <w:sz w:val="24"/>
          <w:szCs w:val="24"/>
          <w14:textFill>
            <w14:solidFill>
              <w14:schemeClr w14:val="tx1"/>
            </w14:solidFill>
          </w14:textFill>
        </w:rPr>
        <w:t>贵金属：人民币汇率小幅调贬，贵金属价格窄幅震荡</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持平于551.14元/克，沪银跌0.39%至7853元/千克。美联储戴利表示，目前通胀风险与就业任务更加平衡；必须谨慎考虑不要过早放松利率或按兵不动时间过长；从数据中可以看到强劲的劳动力市场；需要坚定不移，在没有必要的时候美联储不会采取先发制人的行动。人民币对美元中间价报7.1201，调贬5个基点。后续关注美国通胀及经济表现，留意周五晚间公布的美国PCE通胀数据，美元指数及美债收益率或偏弱震荡，建议贵金属中长期维持偏多思路，回调至均线支撑附近可轻仓试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3199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3562"/>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碳酸锂：仓单维持高位令盘面承压，期价大幅下跌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进一步下跌至半年来新低，07合约收跌5.45%至88550元/吨，07合约减仓13419手至7.37万手。6月24日，碳酸锂注册仓单下降220手至27975手，维持高位。淡季期间动力电池及消费电子市场表现低迷，三元材料企业开工率低于4成，6系及8系产品需求下滑明显，磷酸铁锂订单下滑，碳酸锂下游需求疲弱。进口及产量等供应维持充足，供强需弱的基本面格局中锂价进一步下跌，当前跌破矿石提锂成本。另一方面，07合约临近交割的移仓换月行为令期价波动有所加剧，注册仓单量维持高位令盘面承压，期价弱势运行。</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9896"/>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铝价低位盘整，观望下方支撑</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6月PMI数据好于预期，5月PPI、CPI数据表现低于预期，美国零售消费数据疲软，显现当地市场通胀情绪降温，年内美联储降息乐观预期修正，欧盟确认针对华进口电动汽车加征关税，宏观情绪支撑走弱。上游铝土矿进口有供应扰动预期，氧化铝价格坚挺需求刚性，电解铝生产成本抬升，进口铝盈利窗口持续关闭，进口补充有限，国内电解铝运行产能持续走增，产量保持高位，内需在淡季消费下游企业开工率走弱，但海外出口需求旺盛，库存淡季仍表现为去库。</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矿端紧缺短期难以扭转，生产成本对铝价形成支撑，需求表现为内需淡季趋弱，外需依旧旺盛，铝价短期内上下有限，表现为价格低位盘整。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419"/>
      <w:r>
        <w:rPr>
          <w:rFonts w:hint="eastAsia" w:ascii="楷体" w:hAnsi="楷体" w:eastAsia="楷体"/>
          <w:b/>
          <w:color w:val="000000" w:themeColor="text1"/>
          <w:sz w:val="24"/>
          <w:szCs w:val="24"/>
          <w14:textFill>
            <w14:solidFill>
              <w14:schemeClr w14:val="tx1"/>
            </w14:solidFill>
          </w14:textFill>
        </w:rPr>
        <w:t>锌：锌价区间震荡保持波段行情</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美国CPI、PPI数据低于预期，就业市场、零售销售市场降持续降温，联储年内降息乐观预期修正，宏观利多情绪走弱。</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锌矿TC加工费保持低位，国内矿供应走增，但对精炼锌高产原料需求依旧供应吃紧，炼厂叠加副产品生产利润保持亏损，中游加工生产积极性较低，沪伦比收窄打开进口盈利窗口，5月锌矿及精炼锌进口量环比走弱，精炼锌生产下降但仍在历史相对高位，库存高位小幅去库。矿端成本高企支撑锌价，冶炼利润下降拖累加工企业生产积极性，近期锌价快速下行带动下游采买情绪，库存高位去库，传统基建、地产板块有国家利多政策扶植支持，消费淡季或有不淡表现，短期锌价回调盘整，参考震荡区间23000-24500，建议高抛低吸参与波段行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633"/>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：短期驱动有限，价格维持震荡偏弱</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(1)库存：6月24日，SHFE仓单库存255387吨，增147吨；LME仓单库存167825吨，增2650吨。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(2)精废价差：6月24日，Mysteel精废价差1014，收窄776。目前价差在合理价差1480之下。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当前宏观方面的指引较为有限，继续关注主要经济体经济数据的变化，国内股市仍然偏弱，整体市场情绪受到一定负面影响。基本面，伴随铜价下跌，精废价差明显收窄，市场上再生铜原料流通开始紧张，或再次引发对后期铜矿偏紧传导至冶炼端的预期，当前TC仍处历史极低值，限制价格继续下跌空间，但短期利多驱动有限，价格反弹驱动不强，预计维持震荡偏弱为主，参考7.7-8.1万。</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8265"/>
      <w:r>
        <w:rPr>
          <w:rFonts w:hint="eastAsia" w:ascii="楷体" w:hAnsi="楷体" w:eastAsia="楷体"/>
          <w:b/>
          <w:color w:val="000000" w:themeColor="text1"/>
          <w:sz w:val="24"/>
          <w:szCs w:val="24"/>
          <w14:textFill>
            <w14:solidFill>
              <w14:schemeClr w14:val="tx1"/>
            </w14:solidFill>
          </w14:textFill>
        </w:rPr>
        <w:t>镍：短期镍价或偏弱震荡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2024年以来镍价运行逻辑主要受宏观情绪摆动及印尼镍矿扰动，目前宏观情绪逐渐冷却，印尼镍矿RKAB审批加快，由于审批通过与实际供应之间存在时滞，目前流通资源仍偏紧，但印尼镍矿供应不确定性逻辑带来的溢价已明显消退。原料端，近期硫酸镍价格弱势运行，一是在于中间品生产硫酸镍的成本下行；二是在于三元材料厂家继续减产，硫酸镍需求不佳。供需方面，精炼镍维持过剩格局，国产精炼镍品牌积极寻求出口，使得国内现货资源偏紧，加上镍估值回落后下游交投情绪有所好转，社库两周维持去化。从终端需求来看，在新能源汽车领域，5月中国三元材料产量环比下降20%，同比下降5%，且6月延续下降趋势，加上三元材料库存高企，对镍需求较疲软；在不锈钢领域，终端需求亦无亮点可循。综合而言，印尼镍矿现货偏紧但担忧情绪已缓解，成本支撑下滑，镍基本面仍偏弱，预计短期镍价偏弱震荡为主。</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6220"/>
      <w:r>
        <w:rPr>
          <w:rFonts w:hint="eastAsia" w:ascii="楷体" w:hAnsi="楷体" w:eastAsia="楷体"/>
          <w:b/>
          <w:color w:val="000000" w:themeColor="text1"/>
          <w:sz w:val="24"/>
          <w:szCs w:val="24"/>
          <w14:textFill>
            <w14:solidFill>
              <w14:schemeClr w14:val="tx1"/>
            </w14:solidFill>
          </w14:textFill>
        </w:rPr>
        <w:t>不锈钢：上下空间皆有限，关注钢厂排产情况</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矿端成本支撑仍在，5月印尼镍铁回流国内数量环比下降10%，但由于不锈钢需求偏弱且维持累库，钢厂对镍铁高价采购情绪减弱，镍铁价格承压运行。供需方面，目前处于不锈钢传统消费淡季，下游备库积极性较低，终端需求表现亦乏善可陈。库存方面，上周到货偏少，社库刚需去库，仓单库存19万吨，处于历史高位。综合而言，目前不锈钢基本面难寻利多因素，成本支撑减弱，需求表现不振，仓单库存压力犹存，但由于不锈钢厂生产利润下降至成本边际，限制价格进一步下行。预计短期价格上下空间皆有限，维持窄幅震荡为主，关注不锈钢厂减产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001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基本面宽松预期，盘面大幅下行</w:t>
      </w:r>
      <w:bookmarkEnd w:id="25"/>
    </w:p>
    <w:p>
      <w:pPr>
        <w:ind w:left="630" w:leftChars="300"/>
        <w:rPr>
          <w:rFonts w:ascii="楷体" w:hAnsi="楷体" w:eastAsia="楷体"/>
          <w:sz w:val="24"/>
          <w:szCs w:val="24"/>
        </w:rPr>
      </w:pPr>
      <w:r>
        <w:rPr>
          <w:rFonts w:hint="eastAsia" w:ascii="楷体" w:hAnsi="楷体" w:eastAsia="楷体"/>
          <w:sz w:val="24"/>
          <w:szCs w:val="24"/>
        </w:rPr>
        <w:t>6月24日，Si2409主力合约呈大幅下行走势，收盘价11400元/吨，较上一收盘价涨跌幅-4.72%，再创上市以来新低。此前，受宏观情绪提振，工业硅盘面出现一轮明显反弹，但近期随着宏观情绪转弱，叠加基本面依旧处于宽松格局，使得盘面再度呈现明显下跌行情。目前，行业整体依旧存在供增需减预期，宽松格局或较难迎来扭转，预计盘面或将偏弱运行。策略上，建议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2031"/>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2443"/>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供应逐步上量 天胶成本支撑减弱</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全球产区降水预期偏强，中长期对割胶工作有利，总供应上量预期明显，目前原料价格有所下滑，产量拐点仍需进一步观察。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回落，对胶价底部支撑减弱。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32061"/>
      <w:r>
        <w:rPr>
          <w:rFonts w:hint="eastAsia" w:ascii="Times New Roman" w:hAnsi="Times New Roman" w:eastAsia="楷体"/>
          <w:b/>
          <w:color w:val="000000" w:themeColor="text1"/>
          <w:sz w:val="24"/>
          <w:szCs w:val="24"/>
          <w14:textFill>
            <w14:solidFill>
              <w14:schemeClr w14:val="tx1"/>
            </w14:solidFill>
          </w14:textFill>
        </w:rPr>
        <w:t>聚烯烃：需求迈入淡季 聚烯烃或延续震荡整理</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0727"/>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期货价格低位反弹，基本面仍保持偏弱</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6月21日，玻璃主力合约收盘价为1579元/吨，周下跌4.19%。现货方面，浮法玻璃河北沙河大板现货继续轻微下跌4元/吨至1512元/吨，保持疲弱。库存方面，玻璃在产企业总库存为5813.65万重量箱，环比上周上升8.35万重量箱，呈现累库现象。宏观方面，5月17日房地产利好政策有利情绪支撑。但6月17日，根据国家统计局公布2024年5月份各线城市商品住宅销售价格月率下降、年率降幅略有扩大。其中，北京、广州和深圳分别下降1.1%、1.4% 和0.8%，上海上涨0.6%，终端需求再受打击。</w:t>
      </w:r>
    </w:p>
    <w:p>
      <w:pPr>
        <w:ind w:left="630" w:leftChars="300"/>
        <w:rPr>
          <w:rFonts w:hint="eastAsia" w:ascii="楷体" w:hAnsi="楷体" w:eastAsia="楷体"/>
          <w:sz w:val="24"/>
          <w:szCs w:val="24"/>
        </w:rPr>
      </w:pPr>
      <w:r>
        <w:rPr>
          <w:rFonts w:hint="eastAsia" w:ascii="楷体" w:hAnsi="楷体" w:eastAsia="楷体"/>
          <w:sz w:val="24"/>
          <w:szCs w:val="24"/>
        </w:rPr>
        <w:t>总体来看，但6月市场情绪回落，叠加地产数据打压期货盘面，前期政策利多因素消化后玻璃期货转为交易现实。目前盘面处于升水状态，基差存在一定修复动力，短期内预计期价弱震荡建议观望。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5991"/>
      <w:r>
        <w:rPr>
          <w:rFonts w:hint="eastAsia" w:ascii="Times New Roman" w:hAnsi="Times New Roman" w:eastAsia="楷体"/>
          <w:b/>
          <w:color w:val="000000" w:themeColor="text1"/>
          <w:sz w:val="24"/>
          <w:szCs w:val="24"/>
          <w14:textFill>
            <w14:solidFill>
              <w14:schemeClr w14:val="tx1"/>
            </w14:solidFill>
          </w14:textFill>
        </w:rPr>
        <w:t>纯碱：供应持续偏松，SA合约低位运行</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盘面来看，6月21日，纯碱主力合约收盘价为2113元/吨，周跌1.91%。</w:t>
      </w:r>
    </w:p>
    <w:p>
      <w:pPr>
        <w:ind w:left="630" w:leftChars="300"/>
        <w:rPr>
          <w:rFonts w:hint="eastAsia" w:ascii="楷体" w:hAnsi="楷体" w:eastAsia="楷体"/>
          <w:sz w:val="24"/>
          <w:szCs w:val="24"/>
        </w:rPr>
      </w:pPr>
      <w:r>
        <w:rPr>
          <w:rFonts w:hint="eastAsia" w:ascii="楷体" w:hAnsi="楷体" w:eastAsia="楷体"/>
          <w:sz w:val="24"/>
          <w:szCs w:val="24"/>
        </w:rPr>
        <w:t>现货来看，国内价格有调降迹象，截至目前，华北重碱、华中轻碱价格保持偏弱；随着前期检修企业恢复生产，纯碱供应将有所增加；下游需求仍维持稳定。</w:t>
      </w:r>
    </w:p>
    <w:p>
      <w:pPr>
        <w:ind w:left="630" w:leftChars="300"/>
        <w:rPr>
          <w:rFonts w:ascii="楷体" w:hAnsi="楷体" w:eastAsia="楷体"/>
          <w:sz w:val="24"/>
          <w:szCs w:val="24"/>
        </w:rPr>
      </w:pPr>
      <w:r>
        <w:rPr>
          <w:rFonts w:hint="eastAsia" w:ascii="楷体" w:hAnsi="楷体" w:eastAsia="楷体"/>
          <w:sz w:val="24"/>
          <w:szCs w:val="24"/>
        </w:rPr>
        <w:t>因此纯碱过剩周期对价格打压不仅为短期情况，短期预计纯碱现货价格偏弱，目前，主力合约出于超跌需求，做空机会逐渐显现，建议投资者逢高轻仓试空。</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13024"/>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1464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期价出现较大幅度上涨</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市场依然担心东北产区玉米高价往下游传导的问题，因玉米产销区价差与华北-东北玉米价差持续处于历史同期低位，当前市场担忧主要集中在陈化水稻投放和新作小麦上市两个层面，在我们看来，陈稻层面国家没有动力/意愿降价抛储，这意味着在当前期现货水平下陈稻即使抛储亦不能带来实质供应；而新作小麦层面则一方面产量不及预期，另一方面国家启动增储收购，这有望使得小麦饲用替代量受限，因此，我们倾向于国内玉米产需缺口有望逐步显现。当然，考虑到当前期价更贴近北方港口甚至东北产区现货价格，仍需要现货特别是华北产区和南方销区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如期走扩，我们倾向于认为这一趋势短期有望延续，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建议投资者持有前期单边多单及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19927"/>
      <w:r>
        <w:rPr>
          <w:rFonts w:hint="eastAsia" w:ascii="楷体" w:hAnsi="楷体" w:eastAsia="楷体"/>
          <w:b/>
          <w:bCs/>
          <w:color w:val="000000" w:themeColor="text1"/>
          <w14:textFill>
            <w14:solidFill>
              <w14:schemeClr w14:val="tx1"/>
            </w14:solidFill>
          </w14:textFill>
        </w:rPr>
        <w:t>畜禽养殖：鸡蛋现货带动期价上涨</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生猪和能繁母猪存栏下滑，合理预计接下来直至四季度生猪出栏量环比与同比下滑，但由于生产效率（如配种分娩率对冲产能去化的影响）、饲料成本（相同养殖利润下生猪绝对价格下滑）和生猪出栏体重（在一定程度上对冲出栏量下降对猪肉供应量的影响）等因素，在一定程度上使得市场对猪价高点预期弱于2022年。五月以来的现货上涨过程中，养殖户有压栏情况且二次育肥积极入场，导致出栏量持续环比下降，宰后均重上升，现货表现强势，但市场担心供应后移其实不利于后期期现货表现，甚至担心端午节需求释放之后现货或出现回落，这体现在期价特别是近月深度贴水现货上。六月中旬以来现货逐步转弱，主要源于猪价高企对需求的压制及其气温上升对压栏/二次育肥的影响。值得留意的是，如果市场能阶段性出栏带动体重下降，或反而有利于后期猪价上涨，因从新生仔猪数量推算，三季度生猪出栏数量仍将继续环比下滑。据此我们中期谨慎看多，短期观点转为谨慎看多，建议谨慎投资者观望为宜，激进投资者可考虑做多2409合约。</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五月中以来的鸡蛋现货超预期上涨可能带来市场对供需预期的分歧，除去需求端增量即南方持续降雨带来蔬菜缺口继而催生鸡蛋阶段性补库之外，还可能表明供应端亦不及市场之前预期，因多家机构数据均显示去年底以来蛋鸡淘汰量同比大幅增加。接下来需要重点关注两个方面，其一是饲料原料端即豆粕和玉米走势，因饲料在鸡蛋养殖成本中占比较大；其二是现货走势，因市场将据之来判断行业供需格局，特别是5月现货大幅上涨已经带来市场较大分歧的情况下。综上所述，我们暂维持中性观点，建议投资者观望为宜，可考虑轻仓择机入场做多旺季合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17211"/>
      <w:r>
        <w:rPr>
          <w:rFonts w:hint="eastAsia" w:ascii="楷体" w:hAnsi="楷体" w:eastAsia="楷体"/>
          <w:b/>
          <w:bCs/>
          <w:color w:val="000000" w:themeColor="text1"/>
          <w14:textFill>
            <w14:solidFill>
              <w14:schemeClr w14:val="tx1"/>
            </w14:solidFill>
          </w14:textFill>
        </w:rPr>
        <w:t>白糖：巴西雷亚尔贬值刺激出口，外盘反弹收高</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原糖主力合约和伦敦白砂糖主力合约上涨2.82%和2.19%，糖价反弹收高。糖业生产商Tereos认为，尽管巴西主要产区遭遇干旱，但预计24/25榨季糖产量能与上榨季持平。关注本周UNICA公布巴西中南部6月上半月生产数据，届时产量进一步兑现能给期价变动指出更明确的方向。出口方面，近期巴西雷亚尔对美元贬值，有利于糖出口，6月前两周日均出口量较上年6月整月日均增加28%。国内昨日夜盘白糖主力合约上涨0.62%。近期广西大部蔗区遭受渍涝灾害，不利于甘蔗生长，或影响后续甘蔗产量。其他方面暂无新信号，内盘跟随外盘变动，今日可谨慎轻仓试多。</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2747"/>
      <w:r>
        <w:rPr>
          <w:rFonts w:hint="eastAsia" w:ascii="楷体" w:hAnsi="楷体" w:eastAsia="楷体"/>
          <w:b/>
          <w:bCs/>
          <w:color w:val="000000" w:themeColor="text1"/>
          <w14:textFill>
            <w14:solidFill>
              <w14:schemeClr w14:val="tx1"/>
            </w14:solidFill>
          </w14:textFill>
        </w:rPr>
        <w:t>棉花：美棉出口回暖，期价上涨</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昨日美棉上涨1.70%。美棉出口签约量略有缩减，净销量回落至30.08万包，装运量则继续攀升。 USDA 周五公布的出口销售报告显示，6月13日止当周，美国当前市场年度棉花出口销售净增18.90万包，较之前一周增加7%；美国下一市场年度棉花出口销售净增11.18万包。当周，美国棉花出口装船为19.79万包，较之前一周增加6%,向中国大陆出口装船7.8万包。国内昨日夜盘棉花上涨0.27%，涨幅较小。目前国内难见利好驱动，期价震荡运行。同时新年度全球供应宽松格局不变，期价长线依旧承压，建议暂时观望。</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14569"/>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27970"/>
      <w:r>
        <w:rPr>
          <w:rFonts w:hint="eastAsia" w:ascii="Times New Roman" w:hAnsi="Times New Roman" w:eastAsia="楷体"/>
          <w:b/>
          <w:color w:val="000000" w:themeColor="text1"/>
          <w:sz w:val="24"/>
          <w:szCs w:val="24"/>
          <w14:textFill>
            <w14:solidFill>
              <w14:schemeClr w14:val="tx1"/>
            </w14:solidFill>
          </w14:textFill>
        </w:rPr>
        <w:t>集运指数（欧线）：缺舱缺箱港口拥堵持续，EC站稳5000点以上</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即期运价走势：6月17日，SCFIS欧线指数环比上涨10.8%%至4688.53点。6月21日，上海港出口至欧洲基本港市场运价（海运及海运附加费）为4336美元/TEU，较上期上涨3.8%。</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给端：船司们继续提价支撑近月合约：开放第27周试舱价格，开放上海—安特卫普，蛇口—鹿特丹，以及新港至格但斯克；其中上海——安特卫普开舱价格大柜8000美金，低于其前期宣涨的9000美金水平但依然涨幅不小。</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据欧洲经济研究所(ZEW)发布的数据显示，欧元区6月ZEW经济景气指数为51.3，好于市场预期及前值，创2021年7月以来的新高，数据显示欧洲经济继续保持平稳增长，有利于对欧洲航线的运输需求起到支撑作用。</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情绪上来看，地缘性消息经常性扰动远月盘面，另外7月涨价预期逐步开启，对近月合约盘面起到一定支撑作用。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98426751"/>
      <w:bookmarkStart w:id="40" w:name="_Toc72481108"/>
      <w:bookmarkStart w:id="41" w:name="_Toc19667"/>
      <w:bookmarkStart w:id="42" w:name="_Toc12779"/>
      <w:bookmarkStart w:id="43" w:name="_Toc71212556"/>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2024年6月25日星期二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73F75CC"/>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BF13F0"/>
    <w:rsid w:val="49D75468"/>
    <w:rsid w:val="49E169F0"/>
    <w:rsid w:val="4A4A74EF"/>
    <w:rsid w:val="4A6F6249"/>
    <w:rsid w:val="4AA77B51"/>
    <w:rsid w:val="4AB74C38"/>
    <w:rsid w:val="4B14426D"/>
    <w:rsid w:val="4B6224E5"/>
    <w:rsid w:val="4B8C4A56"/>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1266B84"/>
    <w:rsid w:val="51642661"/>
    <w:rsid w:val="5191036A"/>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713929"/>
    <w:rsid w:val="78E55995"/>
    <w:rsid w:val="79267C0B"/>
    <w:rsid w:val="79C90FB7"/>
    <w:rsid w:val="7A25684F"/>
    <w:rsid w:val="7A4975BA"/>
    <w:rsid w:val="7A5B105F"/>
    <w:rsid w:val="7A9E5DA7"/>
    <w:rsid w:val="7ABE4B56"/>
    <w:rsid w:val="7B264F79"/>
    <w:rsid w:val="7B3E5659"/>
    <w:rsid w:val="7B4D21AB"/>
    <w:rsid w:val="7BCC4162"/>
    <w:rsid w:val="7C490DB7"/>
    <w:rsid w:val="7C7E37F7"/>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2024-06-25T01:23:29Z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