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_Toc16588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_Toc22574 </w:instrText>
          </w:r>
          <w:r>
            <w:rPr>
              <w:bCs/>
            </w:rPr>
            <w:fldChar w:fldCharType="separate"/>
          </w:r>
          <w:r>
            <w:rPr>
              <w:rFonts w:hint="eastAsia" w:ascii="Times New Roman" w:hAnsi="Times New Roman" w:eastAsia="楷体"/>
              <w:szCs w:val="24"/>
            </w:rPr>
            <w:t>股指：低位逐步布局IF多单</w:t>
          </w:r>
          <w:r>
            <w:rPr>
              <w:bCs/>
            </w:rPr>
            <w:fldChar w:fldCharType="end"/>
          </w:r>
        </w:p>
        <w:p>
          <w:pPr>
            <w:pStyle w:val="59"/>
            <w:tabs>
              <w:tab w:val="right" w:leader="dot" w:pos="8306"/>
            </w:tabs>
          </w:pPr>
          <w:r>
            <w:rPr>
              <w:bCs/>
            </w:rPr>
            <w:fldChar w:fldCharType="begin"/>
          </w:r>
          <w:r>
            <w:rPr>
              <w:bCs/>
            </w:rPr>
            <w:instrText xml:space="preserve"> HYPERLINK \l _Toc15707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_Toc23497 </w:instrText>
          </w:r>
          <w:r>
            <w:rPr>
              <w:bCs/>
            </w:rPr>
            <w:fldChar w:fldCharType="separate"/>
          </w:r>
          <w:r>
            <w:rPr>
              <w:rFonts w:hint="eastAsia" w:ascii="Times New Roman" w:hAnsi="Times New Roman" w:eastAsia="楷体"/>
              <w:szCs w:val="24"/>
            </w:rPr>
            <w:t>贵金属：美国MarkitPMI初值好于预期，贵金属价格下跌</w:t>
          </w:r>
          <w:r>
            <w:rPr>
              <w:bCs/>
            </w:rPr>
            <w:fldChar w:fldCharType="end"/>
          </w:r>
        </w:p>
        <w:p>
          <w:pPr>
            <w:pStyle w:val="59"/>
            <w:tabs>
              <w:tab w:val="right" w:leader="dot" w:pos="8306"/>
            </w:tabs>
          </w:pPr>
          <w:r>
            <w:rPr>
              <w:bCs/>
            </w:rPr>
            <w:fldChar w:fldCharType="begin"/>
          </w:r>
          <w:r>
            <w:rPr>
              <w:bCs/>
            </w:rPr>
            <w:instrText xml:space="preserve"> HYPERLINK \l _Toc26317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_Toc25161 </w:instrText>
          </w:r>
          <w:r>
            <w:rPr>
              <w:bCs/>
            </w:rPr>
            <w:fldChar w:fldCharType="separate"/>
          </w:r>
          <w:r>
            <w:rPr>
              <w:rFonts w:hint="eastAsia" w:ascii="楷体" w:hAnsi="楷体" w:eastAsia="楷体"/>
              <w:szCs w:val="24"/>
            </w:rPr>
            <w:t>碳酸锂：仓单量维持高位，期价下跌</w:t>
          </w:r>
          <w:r>
            <w:rPr>
              <w:bCs/>
            </w:rPr>
            <w:fldChar w:fldCharType="end"/>
          </w:r>
        </w:p>
        <w:p>
          <w:pPr>
            <w:pStyle w:val="74"/>
            <w:tabs>
              <w:tab w:val="right" w:leader="dot" w:pos="8306"/>
            </w:tabs>
          </w:pPr>
          <w:r>
            <w:rPr>
              <w:bCs/>
            </w:rPr>
            <w:fldChar w:fldCharType="begin"/>
          </w:r>
          <w:r>
            <w:rPr>
              <w:bCs/>
            </w:rPr>
            <w:instrText xml:space="preserve"> HYPERLINK \l _Toc27628 </w:instrText>
          </w:r>
          <w:r>
            <w:rPr>
              <w:bCs/>
            </w:rPr>
            <w:fldChar w:fldCharType="separate"/>
          </w:r>
          <w:r>
            <w:rPr>
              <w:rFonts w:hint="eastAsia" w:ascii="楷体" w:hAnsi="楷体" w:eastAsia="楷体"/>
              <w:szCs w:val="24"/>
            </w:rPr>
            <w:t>铝：铝价低位盘整，观望下方支撑</w:t>
          </w:r>
          <w:r>
            <w:rPr>
              <w:bCs/>
            </w:rPr>
            <w:fldChar w:fldCharType="end"/>
          </w:r>
        </w:p>
        <w:p>
          <w:pPr>
            <w:pStyle w:val="74"/>
            <w:tabs>
              <w:tab w:val="right" w:leader="dot" w:pos="8306"/>
            </w:tabs>
          </w:pPr>
          <w:r>
            <w:rPr>
              <w:bCs/>
            </w:rPr>
            <w:fldChar w:fldCharType="begin"/>
          </w:r>
          <w:r>
            <w:rPr>
              <w:bCs/>
            </w:rPr>
            <w:instrText xml:space="preserve"> HYPERLINK \l _Toc9649 </w:instrText>
          </w:r>
          <w:r>
            <w:rPr>
              <w:bCs/>
            </w:rPr>
            <w:fldChar w:fldCharType="separate"/>
          </w:r>
          <w:r>
            <w:rPr>
              <w:rFonts w:hint="eastAsia" w:ascii="楷体" w:hAnsi="楷体" w:eastAsia="楷体"/>
              <w:szCs w:val="24"/>
            </w:rPr>
            <w:t>锌：锌价区间震荡保持波段行情</w:t>
          </w:r>
          <w:r>
            <w:rPr>
              <w:bCs/>
            </w:rPr>
            <w:fldChar w:fldCharType="end"/>
          </w:r>
        </w:p>
        <w:p>
          <w:pPr>
            <w:pStyle w:val="74"/>
            <w:tabs>
              <w:tab w:val="right" w:leader="dot" w:pos="8306"/>
            </w:tabs>
          </w:pPr>
          <w:r>
            <w:rPr>
              <w:bCs/>
            </w:rPr>
            <w:fldChar w:fldCharType="begin"/>
          </w:r>
          <w:r>
            <w:rPr>
              <w:bCs/>
            </w:rPr>
            <w:instrText xml:space="preserve"> HYPERLINK \l _Toc21383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：短期驱动有限，价格维持震荡偏弱</w:t>
          </w:r>
          <w:r>
            <w:rPr>
              <w:bCs/>
            </w:rPr>
            <w:fldChar w:fldCharType="end"/>
          </w:r>
        </w:p>
        <w:p>
          <w:pPr>
            <w:pStyle w:val="74"/>
            <w:tabs>
              <w:tab w:val="right" w:leader="dot" w:pos="8306"/>
            </w:tabs>
          </w:pPr>
          <w:r>
            <w:rPr>
              <w:bCs/>
            </w:rPr>
            <w:fldChar w:fldCharType="begin"/>
          </w:r>
          <w:r>
            <w:rPr>
              <w:bCs/>
            </w:rPr>
            <w:instrText xml:space="preserve"> HYPERLINK \l _Toc23301 </w:instrText>
          </w:r>
          <w:r>
            <w:rPr>
              <w:bCs/>
            </w:rPr>
            <w:fldChar w:fldCharType="separate"/>
          </w:r>
          <w:r>
            <w:rPr>
              <w:rFonts w:hint="eastAsia" w:ascii="楷体" w:hAnsi="楷体" w:eastAsia="楷体"/>
              <w:szCs w:val="24"/>
            </w:rPr>
            <w:t>镍：短期镍价或偏弱震荡</w:t>
          </w:r>
          <w:r>
            <w:rPr>
              <w:bCs/>
            </w:rPr>
            <w:fldChar w:fldCharType="end"/>
          </w:r>
        </w:p>
        <w:p>
          <w:pPr>
            <w:pStyle w:val="74"/>
            <w:tabs>
              <w:tab w:val="right" w:leader="dot" w:pos="8306"/>
            </w:tabs>
          </w:pPr>
          <w:r>
            <w:rPr>
              <w:bCs/>
            </w:rPr>
            <w:fldChar w:fldCharType="begin"/>
          </w:r>
          <w:r>
            <w:rPr>
              <w:bCs/>
            </w:rPr>
            <w:instrText xml:space="preserve"> HYPERLINK \l _Toc27199 </w:instrText>
          </w:r>
          <w:r>
            <w:rPr>
              <w:bCs/>
            </w:rPr>
            <w:fldChar w:fldCharType="separate"/>
          </w:r>
          <w:r>
            <w:rPr>
              <w:rFonts w:hint="eastAsia" w:ascii="楷体" w:hAnsi="楷体" w:eastAsia="楷体"/>
              <w:szCs w:val="24"/>
            </w:rPr>
            <w:t>不锈钢：上下空间皆有限，关注钢厂排产情况</w:t>
          </w:r>
          <w:r>
            <w:rPr>
              <w:bCs/>
            </w:rPr>
            <w:fldChar w:fldCharType="end"/>
          </w:r>
        </w:p>
        <w:p>
          <w:pPr>
            <w:pStyle w:val="74"/>
            <w:tabs>
              <w:tab w:val="right" w:leader="dot" w:pos="8306"/>
            </w:tabs>
          </w:pPr>
          <w:r>
            <w:rPr>
              <w:bCs/>
            </w:rPr>
            <w:fldChar w:fldCharType="begin"/>
          </w:r>
          <w:r>
            <w:rPr>
              <w:bCs/>
            </w:rPr>
            <w:instrText xml:space="preserve"> HYPERLINK \l _Toc353 </w:instrText>
          </w:r>
          <w:r>
            <w:rPr>
              <w:bCs/>
            </w:rPr>
            <w:fldChar w:fldCharType="separate"/>
          </w:r>
          <w:r>
            <w:rPr>
              <w:rFonts w:hint="eastAsia" w:ascii="楷体" w:hAnsi="楷体" w:eastAsia="楷体"/>
              <w:szCs w:val="24"/>
            </w:rPr>
            <w:t>工业硅：工厂暂无明显库存压力，短期或维持震荡运行</w:t>
          </w:r>
          <w:r>
            <w:rPr>
              <w:bCs/>
            </w:rPr>
            <w:fldChar w:fldCharType="end"/>
          </w:r>
        </w:p>
        <w:p>
          <w:pPr>
            <w:pStyle w:val="59"/>
            <w:tabs>
              <w:tab w:val="right" w:leader="dot" w:pos="8306"/>
            </w:tabs>
          </w:pPr>
          <w:r>
            <w:rPr>
              <w:bCs/>
            </w:rPr>
            <w:fldChar w:fldCharType="begin"/>
          </w:r>
          <w:r>
            <w:rPr>
              <w:bCs/>
            </w:rPr>
            <w:instrText xml:space="preserve"> HYPERLINK \l _Toc2998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_Toc25337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供应逐步上量 天胶成本支撑减弱</w:t>
          </w:r>
          <w:r>
            <w:rPr>
              <w:bCs/>
            </w:rPr>
            <w:fldChar w:fldCharType="end"/>
          </w:r>
        </w:p>
        <w:p>
          <w:pPr>
            <w:pStyle w:val="74"/>
            <w:tabs>
              <w:tab w:val="right" w:leader="dot" w:pos="8306"/>
            </w:tabs>
          </w:pPr>
          <w:r>
            <w:rPr>
              <w:bCs/>
            </w:rPr>
            <w:fldChar w:fldCharType="begin"/>
          </w:r>
          <w:r>
            <w:rPr>
              <w:bCs/>
            </w:rPr>
            <w:instrText xml:space="preserve"> HYPERLINK \l _Toc2591 </w:instrText>
          </w:r>
          <w:r>
            <w:rPr>
              <w:bCs/>
            </w:rPr>
            <w:fldChar w:fldCharType="separate"/>
          </w:r>
          <w:r>
            <w:rPr>
              <w:rFonts w:hint="eastAsia" w:ascii="Times New Roman" w:hAnsi="Times New Roman" w:eastAsia="楷体"/>
              <w:szCs w:val="24"/>
            </w:rPr>
            <w:t>聚烯烃：需求迈入淡季 聚烯烃或延续震荡整理</w:t>
          </w:r>
          <w:r>
            <w:rPr>
              <w:bCs/>
            </w:rPr>
            <w:fldChar w:fldCharType="end"/>
          </w:r>
        </w:p>
        <w:p>
          <w:pPr>
            <w:pStyle w:val="74"/>
            <w:tabs>
              <w:tab w:val="right" w:leader="dot" w:pos="8306"/>
            </w:tabs>
          </w:pPr>
          <w:r>
            <w:rPr>
              <w:bCs/>
            </w:rPr>
            <w:fldChar w:fldCharType="begin"/>
          </w:r>
          <w:r>
            <w:rPr>
              <w:bCs/>
            </w:rPr>
            <w:instrText xml:space="preserve"> HYPERLINK \l _Toc7886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期货价格低位反弹，基本面仍保持偏弱</w:t>
          </w:r>
          <w:r>
            <w:rPr>
              <w:bCs/>
            </w:rPr>
            <w:fldChar w:fldCharType="end"/>
          </w:r>
        </w:p>
        <w:p>
          <w:pPr>
            <w:pStyle w:val="74"/>
            <w:tabs>
              <w:tab w:val="right" w:leader="dot" w:pos="8306"/>
            </w:tabs>
          </w:pPr>
          <w:r>
            <w:rPr>
              <w:bCs/>
            </w:rPr>
            <w:fldChar w:fldCharType="begin"/>
          </w:r>
          <w:r>
            <w:rPr>
              <w:bCs/>
            </w:rPr>
            <w:instrText xml:space="preserve"> HYPERLINK \l _Toc20364 </w:instrText>
          </w:r>
          <w:r>
            <w:rPr>
              <w:bCs/>
            </w:rPr>
            <w:fldChar w:fldCharType="separate"/>
          </w:r>
          <w:r>
            <w:rPr>
              <w:rFonts w:hint="eastAsia" w:ascii="Times New Roman" w:hAnsi="Times New Roman" w:eastAsia="楷体"/>
              <w:szCs w:val="24"/>
            </w:rPr>
            <w:t>纯碱：供应持续偏松，SA合约低位运行</w:t>
          </w:r>
          <w:r>
            <w:rPr>
              <w:bCs/>
            </w:rPr>
            <w:fldChar w:fldCharType="end"/>
          </w:r>
        </w:p>
        <w:p>
          <w:pPr>
            <w:pStyle w:val="59"/>
            <w:tabs>
              <w:tab w:val="right" w:leader="dot" w:pos="8306"/>
            </w:tabs>
          </w:pPr>
          <w:r>
            <w:rPr>
              <w:bCs/>
            </w:rPr>
            <w:fldChar w:fldCharType="begin"/>
          </w:r>
          <w:r>
            <w:rPr>
              <w:bCs/>
            </w:rPr>
            <w:instrText xml:space="preserve"> HYPERLINK \l _Toc2400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_Toc28266 </w:instrText>
          </w:r>
          <w:r>
            <w:rPr>
              <w:bCs/>
            </w:rPr>
            <w:fldChar w:fldCharType="separate"/>
          </w:r>
          <w:r>
            <w:rPr>
              <w:rFonts w:hint="eastAsia" w:ascii="楷体" w:hAnsi="楷体" w:eastAsia="楷体"/>
              <w:bCs/>
            </w:rPr>
            <w:t>玉米与淀粉：</w:t>
          </w:r>
          <w:r>
            <w:rPr>
              <w:rFonts w:hint="eastAsia" w:ascii="楷体" w:hAnsi="楷体" w:eastAsia="楷体"/>
            </w:rPr>
            <w:t>淀粉-玉米价差有望继续走扩</w:t>
          </w:r>
          <w:r>
            <w:rPr>
              <w:bCs/>
            </w:rPr>
            <w:fldChar w:fldCharType="end"/>
          </w:r>
        </w:p>
        <w:p>
          <w:pPr>
            <w:pStyle w:val="74"/>
            <w:tabs>
              <w:tab w:val="right" w:leader="dot" w:pos="8306"/>
            </w:tabs>
          </w:pPr>
          <w:r>
            <w:rPr>
              <w:bCs/>
            </w:rPr>
            <w:fldChar w:fldCharType="begin"/>
          </w:r>
          <w:r>
            <w:rPr>
              <w:bCs/>
            </w:rPr>
            <w:instrText xml:space="preserve"> HYPERLINK \l _Toc25513 </w:instrText>
          </w:r>
          <w:r>
            <w:rPr>
              <w:bCs/>
            </w:rPr>
            <w:fldChar w:fldCharType="separate"/>
          </w:r>
          <w:r>
            <w:rPr>
              <w:rFonts w:hint="eastAsia" w:ascii="楷体" w:hAnsi="楷体" w:eastAsia="楷体"/>
              <w:bCs/>
            </w:rPr>
            <w:t>畜禽养殖：等待回落后的做多机会</w:t>
          </w:r>
          <w:r>
            <w:rPr>
              <w:bCs/>
            </w:rPr>
            <w:fldChar w:fldCharType="end"/>
          </w:r>
        </w:p>
        <w:p>
          <w:pPr>
            <w:pStyle w:val="74"/>
            <w:tabs>
              <w:tab w:val="right" w:leader="dot" w:pos="8306"/>
            </w:tabs>
          </w:pPr>
          <w:r>
            <w:rPr>
              <w:bCs/>
            </w:rPr>
            <w:fldChar w:fldCharType="begin"/>
          </w:r>
          <w:r>
            <w:rPr>
              <w:bCs/>
            </w:rPr>
            <w:instrText xml:space="preserve"> HYPERLINK \l _Toc17156 </w:instrText>
          </w:r>
          <w:r>
            <w:rPr>
              <w:bCs/>
            </w:rPr>
            <w:fldChar w:fldCharType="separate"/>
          </w:r>
          <w:r>
            <w:rPr>
              <w:rFonts w:hint="eastAsia" w:ascii="楷体" w:hAnsi="楷体" w:eastAsia="楷体"/>
              <w:bCs/>
            </w:rPr>
            <w:t>白糖：盘面依旧反弹修复中，长期偏空看待</w:t>
          </w:r>
          <w:r>
            <w:rPr>
              <w:bCs/>
            </w:rPr>
            <w:fldChar w:fldCharType="end"/>
          </w:r>
        </w:p>
        <w:p>
          <w:pPr>
            <w:pStyle w:val="74"/>
            <w:tabs>
              <w:tab w:val="right" w:leader="dot" w:pos="8306"/>
            </w:tabs>
          </w:pPr>
          <w:r>
            <w:rPr>
              <w:bCs/>
            </w:rPr>
            <w:fldChar w:fldCharType="begin"/>
          </w:r>
          <w:r>
            <w:rPr>
              <w:bCs/>
            </w:rPr>
            <w:instrText xml:space="preserve"> HYPERLINK \l _Toc8989 </w:instrText>
          </w:r>
          <w:r>
            <w:rPr>
              <w:bCs/>
            </w:rPr>
            <w:fldChar w:fldCharType="separate"/>
          </w:r>
          <w:r>
            <w:rPr>
              <w:rFonts w:hint="eastAsia" w:ascii="楷体" w:hAnsi="楷体" w:eastAsia="楷体"/>
              <w:bCs/>
            </w:rPr>
            <w:t>棉花：反弹动力不足，后续或仍将震荡运行</w:t>
          </w:r>
          <w:r>
            <w:rPr>
              <w:bCs/>
            </w:rPr>
            <w:fldChar w:fldCharType="end"/>
          </w:r>
        </w:p>
        <w:p>
          <w:pPr>
            <w:pStyle w:val="59"/>
            <w:tabs>
              <w:tab w:val="right" w:leader="dot" w:pos="8306"/>
            </w:tabs>
          </w:pPr>
          <w:r>
            <w:rPr>
              <w:bCs/>
            </w:rPr>
            <w:fldChar w:fldCharType="begin"/>
          </w:r>
          <w:r>
            <w:rPr>
              <w:bCs/>
            </w:rPr>
            <w:instrText xml:space="preserve"> HYPERLINK \l _Toc5642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_Toc6791 </w:instrText>
          </w:r>
          <w:r>
            <w:rPr>
              <w:bCs/>
            </w:rPr>
            <w:fldChar w:fldCharType="separate"/>
          </w:r>
          <w:r>
            <w:rPr>
              <w:rFonts w:hint="eastAsia" w:ascii="Times New Roman" w:hAnsi="Times New Roman" w:eastAsia="楷体"/>
              <w:szCs w:val="24"/>
            </w:rPr>
            <w:t>集运指数（欧线）：缺舱缺箱港口拥堵持续，EC站稳5000点以上</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16588"/>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22574"/>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低位逐步布局IF多单</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短期调整则使得A股性价比得到明显改善，且有利于悲观预期出清，便于7月重大会议前的资金布局。近期，为维护人民币汇率的稳定，央行已实施了一系列策略来紧缩离岸人民币市场的流动性，在汇率接近7.3之际，存在政策干预的可能性，北向资金集中流出的情况或结束大盘指数ETF出现放量异动，隐含大资金承托预期。周五午盘在沪指临近2984点支撑位的时候，大资金于场内增持ETF，主要增持对象仍为50ETF和300ETF，约超百亿元。但临近尾盘，仍出现一定回落，预计后市仍需大资金出手干预，稳定预期。可考虑低位逐步布局IF多单。</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5707"/>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3497"/>
      <w:r>
        <w:rPr>
          <w:rFonts w:hint="eastAsia" w:ascii="Times New Roman" w:hAnsi="Times New Roman" w:eastAsia="楷体"/>
          <w:b/>
          <w:color w:val="000000" w:themeColor="text1"/>
          <w:sz w:val="24"/>
          <w:szCs w:val="24"/>
          <w14:textFill>
            <w14:solidFill>
              <w14:schemeClr w14:val="tx1"/>
            </w14:solidFill>
          </w14:textFill>
        </w:rPr>
        <w:t>贵金属：美国MarkitPMI初值好于预期，贵金属价格下跌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周五夜盘沪金跌1.41%至551.76元/克，沪银跌3.14%至7835元/千克。上周地缘政治、欧洲政治不确定性等一度推动贵金属价格短线上涨，随后因美国6月MarkitPMI初值全面好于预期，贵金属价格尾盘下跌。美国6月Markit制造业PMI初值51.7，服务业PMI初值55.1，综合PMI初值54.6，均高于预期。后续关注美国通胀及经济表现，美元指数及美债收益率或偏弱震荡，建议贵金属中长期维持偏多思路，回调至均线支撑附近可轻仓试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_Toc3096"/>
      <w:bookmarkStart w:id="12" w:name="金属"/>
      <w:bookmarkStart w:id="13" w:name="_Toc26317"/>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5161"/>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碳酸锂：仓单量维持高位，期价下跌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承压下行，上周五07合约收跌2.39%至91900元/吨的二季度新低，上周整体下跌5.16%；07合约减仓8055手至8.72万手。碳酸锂注册仓单量28195手，维持高位。碳酸锂供应仍保持基本稳定，周度产量略微提升。外采矿石提锂成本倒挂，矿端挺价情绪影响下，进口锂矿价格跌势放缓。近期锂价进一步下跌，一方面由于需求偏弱、进口及产量等供应维持较强的基本面因素，另一方面，07合约临近交割，仓单量维持高位或令盘面略微承压，期价短期内或偏弱运行。</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27628"/>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铝价低位盘整，观望下方支撑</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6月PMI数据好于预期，5月PPI、CPI数据表现低于预期，美国零售消费数据疲软，显现当地市场通胀情绪降温，年内美联储降息乐观预期修正，欧盟确认针对华进口电动汽车加征关税，宏观情绪支撑走弱。上游铝土矿进口有供应扰动预期，氧化铝价格坚挺需求刚性，电解铝生产成本抬升，进口铝盈利窗口持续关闭，进口补充有限，国内电解铝运行产能持续走增，产量保持高位，内需在淡季消费下游企业开工率走弱，但海外出口需求旺盛，库存淡季仍表现为去库。</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矿端紧缺短期难以扭转，生产成本对铝价形成支撑，需求表现为内需淡季趋弱，外需依旧旺盛，铝价下行触碰60日均线支撑再度反弹，短期内上下有限，表现为价格低位盘整，关注20500一线支撑。</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9649"/>
      <w:r>
        <w:rPr>
          <w:rFonts w:hint="eastAsia" w:ascii="楷体" w:hAnsi="楷体" w:eastAsia="楷体"/>
          <w:b/>
          <w:color w:val="000000" w:themeColor="text1"/>
          <w:sz w:val="24"/>
          <w:szCs w:val="24"/>
          <w14:textFill>
            <w14:solidFill>
              <w14:schemeClr w14:val="tx1"/>
            </w14:solidFill>
          </w14:textFill>
        </w:rPr>
        <w:t>锌：锌价区间震荡保持波段行情</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美国CPI、PPI数据低于预期，就业市场、零售销售市场降持续降温，联储年内降息乐观预期修正，宏观利多情绪走弱。</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锌矿TC加工费保持低位，国内矿供应走增，但对精炼锌高产原料需求依旧供应吃紧，炼厂叠加副产品生产利润保持亏损，中游加工生产积极性较低，沪伦比收窄打开进口盈利窗口，5月锌矿及精炼锌进口量环比走弱，精炼锌生产下降但仍在历史相对高位，库存高位小幅去库。矿端成本高企支撑锌价，冶炼利润下降拖累加工企业生产积极性，近期锌价快速下行带动下游采买情绪，库存高位去库，传统基建、地产板块有国家利多政策扶植支持，消费淡季或有不淡表现，短期锌价回调盘整，参考震荡区间23000-24500，建议高抛低吸参与波段行情。</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1383"/>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：短期驱动有限，价格维持震荡偏弱</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(1)库存：6月21日，SHFE仓单库存255240吨，日减882吨；SHFE周库存322910吨，较上周五减7843吨；LME仓单库存165175吨，日增3250吨。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(2)精废价差：6月21日，Mysteel精废价差1788，扩张76。目前价差在合理价差1494之上。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当前宏观方面的指引较为有限，继续关注主要经济体经济数据的变化，国内股市仍然偏弱，整体市场情绪受到一定负面影响。基本面，伴随铜价下跌，精废价差明显收窄，市场上再生铜原料流通开始紧张，或再次引发对后期铜矿偏紧传导至冶炼端的预期，当前TC仍处历史极低值，限制价格继续下跌空间，但短期利多驱动有限，价格反弹驱动不强，预计维持震荡偏弱为主，参考7.7-8.1万。</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3301"/>
      <w:r>
        <w:rPr>
          <w:rFonts w:hint="eastAsia" w:ascii="楷体" w:hAnsi="楷体" w:eastAsia="楷体"/>
          <w:b/>
          <w:color w:val="000000" w:themeColor="text1"/>
          <w:sz w:val="24"/>
          <w:szCs w:val="24"/>
          <w14:textFill>
            <w14:solidFill>
              <w14:schemeClr w14:val="tx1"/>
            </w14:solidFill>
          </w14:textFill>
        </w:rPr>
        <w:t>镍：短期镍价或偏弱震荡</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2024年以来镍价运行逻辑主要受宏观情绪摆动及印尼镍矿扰动，目前宏观情绪逐渐冷却，印尼镍矿RKAB审批加快，由于审批通过与实际供应之间存在时滞，目前流通资源仍偏紧，但印尼镍矿供应不确定性逻辑带来的溢价已明显消退。原料端，近期硫酸镍价格弱势运行，一是在于中间品生产硫酸镍的成本下行；二是在于三元材料厂家继续减产，硫酸镍需求不佳。供需方面，精炼镍维持过剩格局，国产精炼镍品牌积极寻求出口，使得国内现货资源偏紧，加上镍估值回落后下游交投情绪有所好转，社库两周维持去化。从终端需求来看，在新能源汽车领域，5月中国三元材料产量环比下降20%，同比下降5%，且6月延续下降趋势，加上三元材料库存高企，对镍需求较疲软；在不锈钢领域，终端需求亦无亮点可循。综合而言，印尼镍矿现货偏紧但担忧情绪已缓解，成本支撑下滑，镍基本面仍偏弱，预计短期镍价偏弱震荡为主。</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7199"/>
      <w:r>
        <w:rPr>
          <w:rFonts w:hint="eastAsia" w:ascii="楷体" w:hAnsi="楷体" w:eastAsia="楷体"/>
          <w:b/>
          <w:color w:val="000000" w:themeColor="text1"/>
          <w:sz w:val="24"/>
          <w:szCs w:val="24"/>
          <w14:textFill>
            <w14:solidFill>
              <w14:schemeClr w14:val="tx1"/>
            </w14:solidFill>
          </w14:textFill>
        </w:rPr>
        <w:t>不锈钢：上下空间皆有限，关注钢厂排产情况</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铁方面，矿端成本支撑仍在，5月印尼镍铁回流国内数量环比下降10%，但由于不锈钢需求偏弱且维持累库，钢厂对镍铁高价采购情绪减弱，镍铁价格承压运行。据Mysteel数据，截至6月21日，304冷轧外购高镍铁工艺冶炼成本13833元/吨。供需方面，目前处于不锈钢传统消费淡季，下游备库积极性较低，终端需求表现亦乏善可陈。库存方面，上周到货偏少，社库刚需去库，仓单库存19万吨，处于历史高位。综合而言，目前不锈钢基本面难寻利多因素，成本支撑减弱，需求表现不振，仓单库存压力犹存，但由于不锈钢厂生产利润下降至成本边际，限制价格进一步下行。预计短期价格上下空间皆有限，维持窄幅震荡为主，关注不锈钢厂排产变化。</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353"/>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工厂暂无明显库存压力，短期或维持震荡运行</w:t>
      </w:r>
      <w:bookmarkEnd w:id="25"/>
    </w:p>
    <w:p>
      <w:pPr>
        <w:ind w:left="630" w:leftChars="300"/>
        <w:rPr>
          <w:rFonts w:ascii="楷体" w:hAnsi="楷体" w:eastAsia="楷体"/>
          <w:sz w:val="24"/>
          <w:szCs w:val="24"/>
        </w:rPr>
      </w:pPr>
      <w:r>
        <w:rPr>
          <w:rFonts w:hint="eastAsia" w:ascii="楷体" w:hAnsi="楷体" w:eastAsia="楷体"/>
          <w:sz w:val="24"/>
          <w:szCs w:val="24"/>
        </w:rPr>
        <w:t>6月22日，Si2409主力合约呈下行走势，收盘价11965元/吨，较上一收盘价涨跌幅-0.75%。一方面，西南大幅复产情况下，下游需求持续疲软，或将导致行业库存进一步累库，对盘面反弹存在压制。另一方面，由于此前较多工厂提前锁定生产利润，将库存转移至期现商，当前暂无明显库存压力，叠加周内大厂上调现货报价，情绪上或对盘面存在一定支撑，预计短期盘面将震荡偏弱运行，参考区间（11800，12500）。</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2998"/>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25337"/>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供应逐步上量 天胶成本支撑减弱</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然橡胶主力合约大幅回落。目前看，近期泰国主产区天气仍有扰动，导致新胶产出量较少，泰国宋卡地区原料价格止跌回升，给予盘面较强底部支撑。国内云南产区干旱问题有所缓解，胶水价格居高维稳。据当地胶农反映，目前产区橡胶林长势正常。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6月车企优惠政策延续。根据工信部最新公布的新车上市名录里面可以看到，多家车企的新车型与换代车型将于近期发售，亦将刺激未来汽车销售增长预期。整体看，近期海外原料价格表现坚挺，仍处于偏强水平，对胶价存底部支撑明显。但节后归来橡胶因短线涨幅过大、合成橡胶向上乏力以及全钢胎大范围检修而冲高回落。但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2591"/>
      <w:r>
        <w:rPr>
          <w:rFonts w:hint="eastAsia" w:ascii="Times New Roman" w:hAnsi="Times New Roman" w:eastAsia="楷体"/>
          <w:b/>
          <w:color w:val="000000" w:themeColor="text1"/>
          <w:sz w:val="24"/>
          <w:szCs w:val="24"/>
          <w14:textFill>
            <w14:solidFill>
              <w14:schemeClr w14:val="tx1"/>
            </w14:solidFill>
          </w14:textFill>
        </w:rPr>
        <w:t>聚烯烃：需求迈入淡季 聚烯烃或延续震荡整理</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7886"/>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期货价格低位反弹，基本面仍保持偏弱</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上看，6月21日，玻璃主力合约收盘价为1579元/吨，周下跌4.19%。现货方面，浮法玻璃河北沙河大板现货继续轻微下跌4元/吨至1512元/吨，保持疲弱。库存方面，玻璃在产企业总库存为5813.65万重量箱，环比上周上升8.35万重量箱，呈现累库现象。宏观方面，5月17日房地产利好政策有利情绪支撑。但6月17日，根据国家统计局公布2024年5月份各线城市商品住宅销售价格月率下降、年率降幅略有扩大。其中，北京、广州和深圳分别下降1.1%、1.4% 和0.8%，上海上涨0.6%，终端需求再受打击。</w:t>
      </w:r>
    </w:p>
    <w:p>
      <w:pPr>
        <w:ind w:left="630" w:leftChars="300"/>
        <w:rPr>
          <w:rFonts w:hint="eastAsia" w:ascii="楷体" w:hAnsi="楷体" w:eastAsia="楷体"/>
          <w:sz w:val="24"/>
          <w:szCs w:val="24"/>
        </w:rPr>
      </w:pPr>
      <w:r>
        <w:rPr>
          <w:rFonts w:hint="eastAsia" w:ascii="楷体" w:hAnsi="楷体" w:eastAsia="楷体"/>
          <w:sz w:val="24"/>
          <w:szCs w:val="24"/>
        </w:rPr>
        <w:t>总体来看，但6月市场情绪回落，叠加地产数据打压期货盘面，前期政策利多因素消化后玻璃期货转为交易现实。目前盘面处于升水状态，基差存在一定修复动力，短期内预计期价弱震荡建议观望。</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1" w:name="_Toc20364"/>
      <w:r>
        <w:rPr>
          <w:rFonts w:hint="eastAsia" w:ascii="Times New Roman" w:hAnsi="Times New Roman" w:eastAsia="楷体"/>
          <w:b/>
          <w:color w:val="000000" w:themeColor="text1"/>
          <w:sz w:val="24"/>
          <w:szCs w:val="24"/>
          <w14:textFill>
            <w14:solidFill>
              <w14:schemeClr w14:val="tx1"/>
            </w14:solidFill>
          </w14:textFill>
        </w:rPr>
        <w:t>纯碱：供应持续偏松，SA合约低位运行</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盘面来看，6月21日，纯碱主力合约收盘价为2113元/吨，周跌1.91%。</w:t>
      </w:r>
    </w:p>
    <w:p>
      <w:pPr>
        <w:ind w:left="630" w:leftChars="300"/>
        <w:rPr>
          <w:rFonts w:hint="eastAsia" w:ascii="楷体" w:hAnsi="楷体" w:eastAsia="楷体"/>
          <w:sz w:val="24"/>
          <w:szCs w:val="24"/>
        </w:rPr>
      </w:pPr>
      <w:r>
        <w:rPr>
          <w:rFonts w:hint="eastAsia" w:ascii="楷体" w:hAnsi="楷体" w:eastAsia="楷体"/>
          <w:sz w:val="24"/>
          <w:szCs w:val="24"/>
        </w:rPr>
        <w:t>现货来看，国内价格有调降迹象，截至目前，华北重碱、华中轻碱价格保持偏弱；随着前期检修企业恢复生产，纯碱供应将有所增加；下游需求仍维持稳定。</w:t>
      </w:r>
    </w:p>
    <w:p>
      <w:pPr>
        <w:ind w:left="630" w:leftChars="300"/>
        <w:rPr>
          <w:rFonts w:ascii="楷体" w:hAnsi="楷体" w:eastAsia="楷体"/>
          <w:sz w:val="24"/>
          <w:szCs w:val="24"/>
        </w:rPr>
      </w:pPr>
      <w:r>
        <w:rPr>
          <w:rFonts w:hint="eastAsia" w:ascii="楷体" w:hAnsi="楷体" w:eastAsia="楷体"/>
          <w:sz w:val="24"/>
          <w:szCs w:val="24"/>
        </w:rPr>
        <w:t>因此纯碱过剩周期对价格打压不仅为短期情况，短期预计纯碱现货价格偏弱，目前，主力合约出于超跌需求，做空机会逐渐显现，建议投资者逢高轻仓试空。</w:t>
      </w:r>
    </w:p>
    <w:p>
      <w:pPr>
        <w:rPr>
          <w:rFonts w:hint="eastAsia" w:ascii="楷体" w:hAnsi="楷体" w:eastAsia="楷体"/>
          <w:color w:val="000000" w:themeColor="text1"/>
          <w:sz w:val="24"/>
          <w:szCs w:val="24"/>
          <w14:textFill>
            <w14:solidFill>
              <w14:schemeClr w14:val="tx1"/>
            </w14:solidFill>
          </w14:textFill>
        </w:rPr>
      </w:pP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2400"/>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ascii="楷体" w:hAnsi="楷体" w:eastAsia="楷体"/>
          <w:b/>
        </w:rPr>
      </w:pPr>
      <w:bookmarkStart w:id="33" w:name="_Toc28266"/>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淀粉-玉米价差有望继续走扩</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市场依然担心东北产区玉米高价往下游传导的问题，因玉米产销区价差与华北-东北玉米价差持续处于历史同期低位，当前市场担忧主要集中在陈化水稻投放和新作小麦上市两个层面，在我们看来，陈稻层面国家没有动力/意愿降价抛储，这意味着在当前期现货水平下陈稻即使抛储亦不能带来实质供应；而新作小麦层面则一方面产量不及预期，另一方面国家启动增储收购，这有望使得小麦饲用替代量受限，因此，我们倾向于国内玉米产需缺口有望逐步显现。当然，考虑到当前期价更贴近北方港口甚至东北产区现货价格，仍需要现货特别是华北产区和南方销区上涨来实现正向反馈。综上所述，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价差如期走扩，我们倾向于认为这一趋势短期有望延续，主要原因有三，其一是外盘美豆弱势有望通过国内蛋白粕带动国内副产品价格维持低位；其二是下游行业季节性需求旺季有望带动行业供需阶段性改善；其三是华北小麦饲用替代量不及预期有望带动华北-东北玉米价差继续走扩，继而抬高华北淀粉生产成本。综上所述，我们维持谨慎看多观点，建议投资者持有前期单边多单及淀粉-玉米价差走扩套利。</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4" w:name="_Toc25513"/>
      <w:r>
        <w:rPr>
          <w:rFonts w:hint="eastAsia" w:ascii="楷体" w:hAnsi="楷体" w:eastAsia="楷体"/>
          <w:b/>
          <w:bCs/>
          <w:color w:val="000000" w:themeColor="text1"/>
          <w14:textFill>
            <w14:solidFill>
              <w14:schemeClr w14:val="tx1"/>
            </w14:solidFill>
          </w14:textFill>
        </w:rPr>
        <w:t>畜禽养殖：等待回落后的做多机会</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生猪和能繁母猪存栏下滑，合理预计接下来直至四季度生猪出栏量环比与同比下滑，但由于生产效率（如配种分娩率对冲产能去化的影响）、饲料成本（相同养殖利润下生猪绝对价格下滑）和生猪出栏体重（在一定程度上对冲出栏量下降对猪肉供应量的影响）等因素，在一定程度上使得市场对猪价高点预期弱于2022年。五月以来的现货上涨过程中，养殖户有压栏情况且二次育肥积极入场，导致出栏量持续环比下降，宰后均重上升，现货表现强势，但市场担心供应后移其实不利于后期期现货表现，甚至担心端午节需求释放之后现货或出现回落，这体现在期价特别是近月深度贴水现货上。六月中旬以来现货逐步转弱，主要源于猪价高企对需求的压制及其气温上升对压栏/二次育肥的影响。值得留意的是，如果市场能阶段性出栏带动体重下降，或反而有利于后期猪价上涨，因从新生仔猪数量推算，三季度生猪出栏数量仍将继续环比下滑。据此我们中期谨慎看多，短期暂维持中性观点，建议投资者观望为宜，等待做多机会。</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五月中以来的鸡蛋现货超预期上涨可能带来市场对供需预期的分歧，除去需求端增量即南方持续降雨带来蔬菜缺口继而催生鸡蛋阶段性补库之外，还可能表明供应端亦不及市场之前预期，因多家机构数据均显示去年底以来蛋鸡淘汰量同比大幅增加。接下来需要重点关注两个方面，其一是饲料原料端即豆粕和玉米走势，因饲料在鸡蛋养殖成本中占比较大；其二是现货走势，因市场将据之来判断行业供需格局，特别是5月现货大幅上涨已经带来市场较大分歧的情况下。综上所述，我们暂维持中性观点，建议投资者观望为宜，可考虑轻仓择机入场做多旺季合约。</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5" w:name="_Toc17156"/>
      <w:r>
        <w:rPr>
          <w:rFonts w:hint="eastAsia" w:ascii="楷体" w:hAnsi="楷体" w:eastAsia="楷体"/>
          <w:b/>
          <w:bCs/>
          <w:color w:val="000000" w:themeColor="text1"/>
          <w14:textFill>
            <w14:solidFill>
              <w14:schemeClr w14:val="tx1"/>
            </w14:solidFill>
          </w14:textFill>
        </w:rPr>
        <w:t>白糖：盘面依旧反弹修复中，长期偏空看待</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上周五纽约原糖主力合约和伦敦白砂糖主力合约分别上涨0.79%和1.09%；国内昨日夜盘较上一交易日收盘价下跌0.15%，但整体依旧呈现反弹态势。外盘对巴西产量的不确定使其低位反弹。Copersucar公布预测数据，巴西糖产量将超4300万吨，创记录高位。同时巴西正在战略性增加糖产量，提高甘蔗制糖比。因此本榨季依旧以增产观点为主，预计长线期价承压。国内盘面反弹主要是前期破位下跌后的修复，长期依旧偏空对待。</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6" w:name="_Toc8989"/>
      <w:r>
        <w:rPr>
          <w:rFonts w:hint="eastAsia" w:ascii="楷体" w:hAnsi="楷体" w:eastAsia="楷体"/>
          <w:b/>
          <w:bCs/>
          <w:color w:val="000000" w:themeColor="text1"/>
          <w14:textFill>
            <w14:solidFill>
              <w14:schemeClr w14:val="tx1"/>
            </w14:solidFill>
          </w14:textFill>
        </w:rPr>
        <w:t>棉花：反弹动力不足，后续或仍将震荡运行</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周五美棉下跌0.4%。国际当前主产国新棉播种和上市进度稳定，在无明显多空信号下，国际棉价低位震荡运行的概率增大。昨日夜盘棉花和棉纱主力合约分别上涨0.07%和0.02%，反弹幅度极小，反弹动力不足。需求疲弱依旧是产业主要矛盾，棉价持续下跌给轧花厂造成较大压力，中低品质棉花小幅让利。纺企继续维持刚需采购状态。而纺企下游贸易商采购价低于纺企报价，走货依旧不畅。因此纺织企业继续小幅下调产能，但目前价格处于低位，部分企业少量增加补库。整体而言，目前期价反弹动力不足，后续或回归震荡运行态势。</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7" w:name="_Toc5642"/>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6791"/>
      <w:r>
        <w:rPr>
          <w:rFonts w:hint="eastAsia" w:ascii="Times New Roman" w:hAnsi="Times New Roman" w:eastAsia="楷体"/>
          <w:b/>
          <w:color w:val="000000" w:themeColor="text1"/>
          <w:sz w:val="24"/>
          <w:szCs w:val="24"/>
          <w14:textFill>
            <w14:solidFill>
              <w14:schemeClr w14:val="tx1"/>
            </w14:solidFill>
          </w14:textFill>
        </w:rPr>
        <w:t>集运指数（欧线）：缺舱缺箱港口拥堵持续，EC站稳5000点以上</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即期运价走势：6月17日，SCFIS欧线指数环比上涨10.8%%至4688.53点。6月21日，上海港出口至欧洲基本港市场运价（海运及海运附加费）为4336美元/TEU，较上期上涨3.8%。</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供给端：船司们继续提价支撑近月合约：开放第27周试舱价格，开放上海—安特卫普，蛇口—鹿特丹，以及新港至格但斯克；其中上海——安特卫普开舱价格大柜8000美金，低于其前期宣涨的9000美金水平但依然涨幅不小。</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据欧洲经济研究所(ZEW)发布的数据显示，欧元区6月ZEW经济景气指数为51.3，好于市场预期及前值，创2021年7月以来的新高，数据显示欧洲经济继续保持平稳增长，有利于对欧洲航线的运输需求起到支撑作用。</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情绪上来看，地缘性消息经常性扰动远月盘面，另外7月涨价预期逐步开启，对近月合约盘面起到一定支撑作用。</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72481108"/>
      <w:bookmarkStart w:id="40" w:name="_Toc12779"/>
      <w:bookmarkStart w:id="41" w:name="_Toc98426751"/>
      <w:bookmarkStart w:id="42" w:name="_Toc71212556"/>
      <w:bookmarkStart w:id="43" w:name="_Toc19667"/>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2024年6月24日星期一</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3A507DC"/>
    <w:rsid w:val="04C17862"/>
    <w:rsid w:val="04E41B77"/>
    <w:rsid w:val="057D13AE"/>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E955A36"/>
    <w:rsid w:val="0F662138"/>
    <w:rsid w:val="0F9B0CE9"/>
    <w:rsid w:val="0FF35275"/>
    <w:rsid w:val="100732C8"/>
    <w:rsid w:val="10DA6205"/>
    <w:rsid w:val="10E86139"/>
    <w:rsid w:val="111441F0"/>
    <w:rsid w:val="113D3FD2"/>
    <w:rsid w:val="121F7D21"/>
    <w:rsid w:val="129B2E20"/>
    <w:rsid w:val="12AA5DF8"/>
    <w:rsid w:val="132A04C1"/>
    <w:rsid w:val="1330029C"/>
    <w:rsid w:val="134E6356"/>
    <w:rsid w:val="13AE24B4"/>
    <w:rsid w:val="14D51A3C"/>
    <w:rsid w:val="15364A7C"/>
    <w:rsid w:val="15602ADB"/>
    <w:rsid w:val="15947E4C"/>
    <w:rsid w:val="15D52593"/>
    <w:rsid w:val="1626611D"/>
    <w:rsid w:val="16E2497F"/>
    <w:rsid w:val="17A736B0"/>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D65FDD"/>
    <w:rsid w:val="36C14F46"/>
    <w:rsid w:val="373F75CC"/>
    <w:rsid w:val="38F320AA"/>
    <w:rsid w:val="38FB27F3"/>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BF13F0"/>
    <w:rsid w:val="49D75468"/>
    <w:rsid w:val="49E169F0"/>
    <w:rsid w:val="4A4A74EF"/>
    <w:rsid w:val="4A6F6249"/>
    <w:rsid w:val="4AA77B51"/>
    <w:rsid w:val="4AB74C38"/>
    <w:rsid w:val="4B14426D"/>
    <w:rsid w:val="4B6224E5"/>
    <w:rsid w:val="4B8C4A56"/>
    <w:rsid w:val="4BF97936"/>
    <w:rsid w:val="4C2C4D07"/>
    <w:rsid w:val="4C457E30"/>
    <w:rsid w:val="4CAC2FB1"/>
    <w:rsid w:val="4D2A3925"/>
    <w:rsid w:val="4D597189"/>
    <w:rsid w:val="4DB20386"/>
    <w:rsid w:val="4DF02D90"/>
    <w:rsid w:val="4E665CB5"/>
    <w:rsid w:val="4F271764"/>
    <w:rsid w:val="4F7D0512"/>
    <w:rsid w:val="4FBA2B77"/>
    <w:rsid w:val="4FD46E6F"/>
    <w:rsid w:val="5005695E"/>
    <w:rsid w:val="50286811"/>
    <w:rsid w:val="51266B84"/>
    <w:rsid w:val="51642661"/>
    <w:rsid w:val="5191036A"/>
    <w:rsid w:val="546B5509"/>
    <w:rsid w:val="548642E9"/>
    <w:rsid w:val="54C12E33"/>
    <w:rsid w:val="55633225"/>
    <w:rsid w:val="556D6DC3"/>
    <w:rsid w:val="563B25E1"/>
    <w:rsid w:val="56DD4D3A"/>
    <w:rsid w:val="57555A7B"/>
    <w:rsid w:val="5770382C"/>
    <w:rsid w:val="57846909"/>
    <w:rsid w:val="57CB522F"/>
    <w:rsid w:val="57F46FBE"/>
    <w:rsid w:val="58042686"/>
    <w:rsid w:val="58246D5D"/>
    <w:rsid w:val="58EC5960"/>
    <w:rsid w:val="58F400B4"/>
    <w:rsid w:val="59151C86"/>
    <w:rsid w:val="59C52328"/>
    <w:rsid w:val="5AD37D8A"/>
    <w:rsid w:val="5AF87BF9"/>
    <w:rsid w:val="5B906095"/>
    <w:rsid w:val="5BF60A75"/>
    <w:rsid w:val="5C813B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A2F056E"/>
    <w:rsid w:val="6B292599"/>
    <w:rsid w:val="6D9172E5"/>
    <w:rsid w:val="6DF1703F"/>
    <w:rsid w:val="6E133456"/>
    <w:rsid w:val="6ECB7DD2"/>
    <w:rsid w:val="6F123DD8"/>
    <w:rsid w:val="6F1E315D"/>
    <w:rsid w:val="6F79454F"/>
    <w:rsid w:val="6FE61065"/>
    <w:rsid w:val="70675779"/>
    <w:rsid w:val="70C135EC"/>
    <w:rsid w:val="712C7DE8"/>
    <w:rsid w:val="713E0334"/>
    <w:rsid w:val="716F5E64"/>
    <w:rsid w:val="72417AFE"/>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78F5135"/>
    <w:rsid w:val="77B53D6B"/>
    <w:rsid w:val="77D54B08"/>
    <w:rsid w:val="78431DDA"/>
    <w:rsid w:val="784F7772"/>
    <w:rsid w:val="78713929"/>
    <w:rsid w:val="78E55995"/>
    <w:rsid w:val="79267C0B"/>
    <w:rsid w:val="79C90FB7"/>
    <w:rsid w:val="7A25684F"/>
    <w:rsid w:val="7A4975BA"/>
    <w:rsid w:val="7A5B105F"/>
    <w:rsid w:val="7A9E5DA7"/>
    <w:rsid w:val="7ABE4B56"/>
    <w:rsid w:val="7B264F79"/>
    <w:rsid w:val="7B3E5659"/>
    <w:rsid w:val="7B4D21AB"/>
    <w:rsid w:val="7BCC4162"/>
    <w:rsid w:val="7C490DB7"/>
    <w:rsid w:val="7C7E37F7"/>
    <w:rsid w:val="7CD80967"/>
    <w:rsid w:val="7D0C2828"/>
    <w:rsid w:val="7D902239"/>
    <w:rsid w:val="7EAF7817"/>
    <w:rsid w:val="7F78012E"/>
    <w:rsid w:val="7F7B591C"/>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2024-06-24T01:33:51Z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