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4" w:name="_GoBack"/>
          <w:bookmarkEnd w:id="44"/>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_Toc30985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_Toc17083 </w:instrText>
          </w:r>
          <w:r>
            <w:rPr>
              <w:bCs/>
            </w:rPr>
            <w:fldChar w:fldCharType="separate"/>
          </w:r>
          <w:r>
            <w:rPr>
              <w:rFonts w:hint="eastAsia" w:ascii="Times New Roman" w:hAnsi="Times New Roman" w:eastAsia="楷体"/>
              <w:szCs w:val="24"/>
            </w:rPr>
            <w:t>股指：关注IF低多机会</w:t>
          </w:r>
          <w:r>
            <w:rPr>
              <w:bCs/>
            </w:rPr>
            <w:fldChar w:fldCharType="end"/>
          </w:r>
        </w:p>
        <w:p>
          <w:pPr>
            <w:pStyle w:val="59"/>
            <w:tabs>
              <w:tab w:val="right" w:leader="dot" w:pos="8306"/>
            </w:tabs>
          </w:pPr>
          <w:r>
            <w:rPr>
              <w:bCs/>
            </w:rPr>
            <w:fldChar w:fldCharType="begin"/>
          </w:r>
          <w:r>
            <w:rPr>
              <w:bCs/>
            </w:rPr>
            <w:instrText xml:space="preserve"> HYPERLINK \l _Toc10117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_Toc29938 </w:instrText>
          </w:r>
          <w:r>
            <w:rPr>
              <w:bCs/>
            </w:rPr>
            <w:fldChar w:fldCharType="separate"/>
          </w:r>
          <w:r>
            <w:rPr>
              <w:rFonts w:hint="eastAsia" w:ascii="Times New Roman" w:hAnsi="Times New Roman" w:eastAsia="楷体"/>
              <w:szCs w:val="24"/>
            </w:rPr>
            <w:t>贵金属：全球黄金ETF持仓正向流入，贵金属价格上涨</w:t>
          </w:r>
          <w:r>
            <w:rPr>
              <w:bCs/>
            </w:rPr>
            <w:fldChar w:fldCharType="end"/>
          </w:r>
        </w:p>
        <w:p>
          <w:pPr>
            <w:pStyle w:val="59"/>
            <w:tabs>
              <w:tab w:val="right" w:leader="dot" w:pos="8306"/>
            </w:tabs>
          </w:pPr>
          <w:r>
            <w:rPr>
              <w:bCs/>
            </w:rPr>
            <w:fldChar w:fldCharType="begin"/>
          </w:r>
          <w:r>
            <w:rPr>
              <w:bCs/>
            </w:rPr>
            <w:instrText xml:space="preserve"> HYPERLINK \l _Toc26852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_Toc10828 </w:instrText>
          </w:r>
          <w:r>
            <w:rPr>
              <w:bCs/>
            </w:rPr>
            <w:fldChar w:fldCharType="separate"/>
          </w:r>
          <w:r>
            <w:rPr>
              <w:rFonts w:hint="eastAsia" w:ascii="楷体" w:hAnsi="楷体" w:eastAsia="楷体"/>
              <w:szCs w:val="24"/>
            </w:rPr>
            <w:t>碳酸锂：现货价格下行，期价小幅收跌</w:t>
          </w:r>
          <w:r>
            <w:rPr>
              <w:bCs/>
            </w:rPr>
            <w:fldChar w:fldCharType="end"/>
          </w:r>
        </w:p>
        <w:p>
          <w:pPr>
            <w:pStyle w:val="74"/>
            <w:tabs>
              <w:tab w:val="right" w:leader="dot" w:pos="8306"/>
            </w:tabs>
          </w:pPr>
          <w:r>
            <w:rPr>
              <w:bCs/>
            </w:rPr>
            <w:fldChar w:fldCharType="begin"/>
          </w:r>
          <w:r>
            <w:rPr>
              <w:bCs/>
            </w:rPr>
            <w:instrText xml:space="preserve"> HYPERLINK \l _Toc25373 </w:instrText>
          </w:r>
          <w:r>
            <w:rPr>
              <w:bCs/>
            </w:rPr>
            <w:fldChar w:fldCharType="separate"/>
          </w:r>
          <w:r>
            <w:rPr>
              <w:rFonts w:hint="eastAsia" w:ascii="楷体" w:hAnsi="楷体" w:eastAsia="楷体"/>
              <w:szCs w:val="24"/>
            </w:rPr>
            <w:t>铝：驱动相对有限，短期窄幅震荡</w:t>
          </w:r>
          <w:r>
            <w:rPr>
              <w:bCs/>
            </w:rPr>
            <w:fldChar w:fldCharType="end"/>
          </w:r>
        </w:p>
        <w:p>
          <w:pPr>
            <w:pStyle w:val="74"/>
            <w:tabs>
              <w:tab w:val="right" w:leader="dot" w:pos="8306"/>
            </w:tabs>
          </w:pPr>
          <w:r>
            <w:rPr>
              <w:bCs/>
            </w:rPr>
            <w:fldChar w:fldCharType="begin"/>
          </w:r>
          <w:r>
            <w:rPr>
              <w:bCs/>
            </w:rPr>
            <w:instrText xml:space="preserve"> HYPERLINK \l _Toc25663 </w:instrText>
          </w:r>
          <w:r>
            <w:rPr>
              <w:bCs/>
            </w:rPr>
            <w:fldChar w:fldCharType="separate"/>
          </w:r>
          <w:r>
            <w:rPr>
              <w:rFonts w:hint="eastAsia" w:ascii="楷体" w:hAnsi="楷体" w:eastAsia="楷体"/>
              <w:szCs w:val="24"/>
            </w:rPr>
            <w:t>锌：锌价上冲动力有限，等待逢高做空机会</w:t>
          </w:r>
          <w:r>
            <w:rPr>
              <w:bCs/>
            </w:rPr>
            <w:fldChar w:fldCharType="end"/>
          </w:r>
        </w:p>
        <w:p>
          <w:pPr>
            <w:pStyle w:val="74"/>
            <w:tabs>
              <w:tab w:val="right" w:leader="dot" w:pos="8306"/>
            </w:tabs>
          </w:pPr>
          <w:r>
            <w:rPr>
              <w:bCs/>
            </w:rPr>
            <w:fldChar w:fldCharType="begin"/>
          </w:r>
          <w:r>
            <w:rPr>
              <w:bCs/>
            </w:rPr>
            <w:instrText xml:space="preserve"> HYPERLINK \l _Toc13833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：短期偏震荡运行，上下空间均不大</w:t>
          </w:r>
          <w:r>
            <w:rPr>
              <w:bCs/>
            </w:rPr>
            <w:fldChar w:fldCharType="end"/>
          </w:r>
        </w:p>
        <w:p>
          <w:pPr>
            <w:pStyle w:val="74"/>
            <w:tabs>
              <w:tab w:val="right" w:leader="dot" w:pos="8306"/>
            </w:tabs>
          </w:pPr>
          <w:r>
            <w:rPr>
              <w:bCs/>
            </w:rPr>
            <w:fldChar w:fldCharType="begin"/>
          </w:r>
          <w:r>
            <w:rPr>
              <w:bCs/>
            </w:rPr>
            <w:instrText xml:space="preserve"> HYPERLINK \l _Toc31050 </w:instrText>
          </w:r>
          <w:r>
            <w:rPr>
              <w:bCs/>
            </w:rPr>
            <w:fldChar w:fldCharType="separate"/>
          </w:r>
          <w:r>
            <w:rPr>
              <w:rFonts w:hint="eastAsia" w:ascii="楷体" w:hAnsi="楷体" w:eastAsia="楷体"/>
              <w:szCs w:val="24"/>
            </w:rPr>
            <w:t>镍：基本面走弱，镍价缺乏反弹驱动</w:t>
          </w:r>
          <w:r>
            <w:rPr>
              <w:bCs/>
            </w:rPr>
            <w:fldChar w:fldCharType="end"/>
          </w:r>
        </w:p>
        <w:p>
          <w:pPr>
            <w:pStyle w:val="74"/>
            <w:tabs>
              <w:tab w:val="right" w:leader="dot" w:pos="8306"/>
            </w:tabs>
          </w:pPr>
          <w:r>
            <w:rPr>
              <w:bCs/>
            </w:rPr>
            <w:fldChar w:fldCharType="begin"/>
          </w:r>
          <w:r>
            <w:rPr>
              <w:bCs/>
            </w:rPr>
            <w:instrText xml:space="preserve"> HYPERLINK \l _Toc7450 </w:instrText>
          </w:r>
          <w:r>
            <w:rPr>
              <w:bCs/>
            </w:rPr>
            <w:fldChar w:fldCharType="separate"/>
          </w:r>
          <w:r>
            <w:rPr>
              <w:rFonts w:hint="eastAsia" w:ascii="楷体" w:hAnsi="楷体" w:eastAsia="楷体"/>
              <w:szCs w:val="24"/>
            </w:rPr>
            <w:t>不锈钢：供需矛盾凸显，对价格持偏弱观点</w:t>
          </w:r>
          <w:r>
            <w:rPr>
              <w:bCs/>
            </w:rPr>
            <w:fldChar w:fldCharType="end"/>
          </w:r>
        </w:p>
        <w:p>
          <w:pPr>
            <w:pStyle w:val="74"/>
            <w:tabs>
              <w:tab w:val="right" w:leader="dot" w:pos="8306"/>
            </w:tabs>
          </w:pPr>
          <w:r>
            <w:rPr>
              <w:bCs/>
            </w:rPr>
            <w:fldChar w:fldCharType="begin"/>
          </w:r>
          <w:r>
            <w:rPr>
              <w:bCs/>
            </w:rPr>
            <w:instrText xml:space="preserve"> HYPERLINK \l _Toc25251 </w:instrText>
          </w:r>
          <w:r>
            <w:rPr>
              <w:bCs/>
            </w:rPr>
            <w:fldChar w:fldCharType="separate"/>
          </w:r>
          <w:r>
            <w:rPr>
              <w:rFonts w:hint="eastAsia" w:ascii="楷体" w:hAnsi="楷体" w:eastAsia="楷体"/>
              <w:szCs w:val="24"/>
            </w:rPr>
            <w:t>工业硅：工厂暂无明显库存压力，短期或维持震荡运行</w:t>
          </w:r>
          <w:r>
            <w:rPr>
              <w:bCs/>
            </w:rPr>
            <w:fldChar w:fldCharType="end"/>
          </w:r>
        </w:p>
        <w:p>
          <w:pPr>
            <w:pStyle w:val="59"/>
            <w:tabs>
              <w:tab w:val="right" w:leader="dot" w:pos="8306"/>
            </w:tabs>
          </w:pPr>
          <w:r>
            <w:rPr>
              <w:bCs/>
            </w:rPr>
            <w:fldChar w:fldCharType="begin"/>
          </w:r>
          <w:r>
            <w:rPr>
              <w:bCs/>
            </w:rPr>
            <w:instrText xml:space="preserve"> HYPERLINK \l _Toc21007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_Toc2787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供应逐步上量 天胶震荡整理为主</w:t>
          </w:r>
          <w:r>
            <w:rPr>
              <w:bCs/>
            </w:rPr>
            <w:fldChar w:fldCharType="end"/>
          </w:r>
        </w:p>
        <w:p>
          <w:pPr>
            <w:pStyle w:val="74"/>
            <w:tabs>
              <w:tab w:val="right" w:leader="dot" w:pos="8306"/>
            </w:tabs>
          </w:pPr>
          <w:r>
            <w:rPr>
              <w:bCs/>
            </w:rPr>
            <w:fldChar w:fldCharType="begin"/>
          </w:r>
          <w:r>
            <w:rPr>
              <w:bCs/>
            </w:rPr>
            <w:instrText xml:space="preserve"> HYPERLINK \l _Toc13710 </w:instrText>
          </w:r>
          <w:r>
            <w:rPr>
              <w:bCs/>
            </w:rPr>
            <w:fldChar w:fldCharType="separate"/>
          </w:r>
          <w:r>
            <w:rPr>
              <w:rFonts w:hint="eastAsia" w:ascii="Times New Roman" w:hAnsi="Times New Roman" w:eastAsia="楷体"/>
              <w:szCs w:val="24"/>
            </w:rPr>
            <w:t>聚烯烃：需求迈入淡季 聚烯烃或延续震荡整理</w:t>
          </w:r>
          <w:r>
            <w:rPr>
              <w:bCs/>
            </w:rPr>
            <w:fldChar w:fldCharType="end"/>
          </w:r>
        </w:p>
        <w:p>
          <w:pPr>
            <w:pStyle w:val="74"/>
            <w:tabs>
              <w:tab w:val="right" w:leader="dot" w:pos="8306"/>
            </w:tabs>
          </w:pPr>
          <w:r>
            <w:rPr>
              <w:bCs/>
            </w:rPr>
            <w:fldChar w:fldCharType="begin"/>
          </w:r>
          <w:r>
            <w:rPr>
              <w:bCs/>
            </w:rPr>
            <w:instrText xml:space="preserve"> HYPERLINK \l _Toc14020 </w:instrText>
          </w:r>
          <w:r>
            <w:rPr>
              <w:bCs/>
            </w:rPr>
            <w:fldChar w:fldCharType="separate"/>
          </w:r>
          <w:r>
            <w:rPr>
              <w:rFonts w:hint="eastAsia" w:ascii="Times New Roman" w:hAnsi="Times New Roman" w:eastAsia="楷体"/>
              <w:szCs w:val="24"/>
            </w:rPr>
            <w:t>玻璃:</w:t>
          </w:r>
          <w:r>
            <w:rPr>
              <w:rFonts w:hint="eastAsia" w:ascii="Times New Roman" w:hAnsi="Times New Roman" w:eastAsia="楷体"/>
              <w:szCs w:val="24"/>
              <w:lang w:val="en-US" w:eastAsia="zh-CN"/>
            </w:rPr>
            <w:t xml:space="preserve"> </w:t>
          </w:r>
          <w:r>
            <w:rPr>
              <w:rFonts w:hint="eastAsia" w:ascii="Times New Roman" w:hAnsi="Times New Roman" w:eastAsia="楷体"/>
              <w:szCs w:val="24"/>
            </w:rPr>
            <w:t>受房地产数据表现不佳打压，期货价格低位徘徊</w:t>
          </w:r>
          <w:r>
            <w:rPr>
              <w:bCs/>
            </w:rPr>
            <w:fldChar w:fldCharType="end"/>
          </w:r>
        </w:p>
        <w:p>
          <w:pPr>
            <w:pStyle w:val="74"/>
            <w:tabs>
              <w:tab w:val="right" w:leader="dot" w:pos="8306"/>
            </w:tabs>
          </w:pPr>
          <w:r>
            <w:rPr>
              <w:bCs/>
            </w:rPr>
            <w:fldChar w:fldCharType="begin"/>
          </w:r>
          <w:r>
            <w:rPr>
              <w:bCs/>
            </w:rPr>
            <w:instrText xml:space="preserve"> HYPERLINK \l _Toc28015 </w:instrText>
          </w:r>
          <w:r>
            <w:rPr>
              <w:bCs/>
            </w:rPr>
            <w:fldChar w:fldCharType="separate"/>
          </w:r>
          <w:r>
            <w:rPr>
              <w:rFonts w:hint="eastAsia" w:ascii="Times New Roman" w:hAnsi="Times New Roman" w:eastAsia="楷体"/>
              <w:szCs w:val="24"/>
            </w:rPr>
            <w:t>纯碱：供应偏松空头情绪浓厚，期市弱势延续</w:t>
          </w:r>
          <w:r>
            <w:rPr>
              <w:bCs/>
            </w:rPr>
            <w:fldChar w:fldCharType="end"/>
          </w:r>
        </w:p>
        <w:p>
          <w:pPr>
            <w:pStyle w:val="59"/>
            <w:tabs>
              <w:tab w:val="right" w:leader="dot" w:pos="8306"/>
            </w:tabs>
          </w:pPr>
          <w:r>
            <w:rPr>
              <w:bCs/>
            </w:rPr>
            <w:fldChar w:fldCharType="begin"/>
          </w:r>
          <w:r>
            <w:rPr>
              <w:bCs/>
            </w:rPr>
            <w:instrText xml:space="preserve"> HYPERLINK \l _Toc8379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_Toc11873 </w:instrText>
          </w:r>
          <w:r>
            <w:rPr>
              <w:bCs/>
            </w:rPr>
            <w:fldChar w:fldCharType="separate"/>
          </w:r>
          <w:r>
            <w:rPr>
              <w:rFonts w:hint="eastAsia" w:ascii="楷体" w:hAnsi="楷体" w:eastAsia="楷体"/>
              <w:bCs/>
            </w:rPr>
            <w:t>玉米与淀粉：</w:t>
          </w:r>
          <w:r>
            <w:rPr>
              <w:rFonts w:hint="eastAsia" w:ascii="楷体" w:hAnsi="楷体" w:eastAsia="楷体"/>
            </w:rPr>
            <w:t>期价夜盘震荡运行</w:t>
          </w:r>
          <w:r>
            <w:rPr>
              <w:bCs/>
            </w:rPr>
            <w:fldChar w:fldCharType="end"/>
          </w:r>
        </w:p>
        <w:p>
          <w:pPr>
            <w:pStyle w:val="74"/>
            <w:tabs>
              <w:tab w:val="right" w:leader="dot" w:pos="8306"/>
            </w:tabs>
          </w:pPr>
          <w:r>
            <w:rPr>
              <w:bCs/>
            </w:rPr>
            <w:fldChar w:fldCharType="begin"/>
          </w:r>
          <w:r>
            <w:rPr>
              <w:bCs/>
            </w:rPr>
            <w:instrText xml:space="preserve"> HYPERLINK \l _Toc18049 </w:instrText>
          </w:r>
          <w:r>
            <w:rPr>
              <w:bCs/>
            </w:rPr>
            <w:fldChar w:fldCharType="separate"/>
          </w:r>
          <w:r>
            <w:rPr>
              <w:rFonts w:hint="eastAsia" w:ascii="楷体" w:hAnsi="楷体" w:eastAsia="楷体"/>
              <w:bCs/>
            </w:rPr>
            <w:t>畜禽养殖：现货带动基差小幅走弱</w:t>
          </w:r>
          <w:r>
            <w:rPr>
              <w:bCs/>
            </w:rPr>
            <w:fldChar w:fldCharType="end"/>
          </w:r>
        </w:p>
        <w:p>
          <w:pPr>
            <w:pStyle w:val="74"/>
            <w:tabs>
              <w:tab w:val="right" w:leader="dot" w:pos="8306"/>
            </w:tabs>
          </w:pPr>
          <w:r>
            <w:rPr>
              <w:bCs/>
            </w:rPr>
            <w:fldChar w:fldCharType="begin"/>
          </w:r>
          <w:r>
            <w:rPr>
              <w:bCs/>
            </w:rPr>
            <w:instrText xml:space="preserve"> HYPERLINK \l _Toc21468 </w:instrText>
          </w:r>
          <w:r>
            <w:rPr>
              <w:bCs/>
            </w:rPr>
            <w:fldChar w:fldCharType="separate"/>
          </w:r>
          <w:r>
            <w:rPr>
              <w:rFonts w:hint="eastAsia" w:ascii="楷体" w:hAnsi="楷体" w:eastAsia="楷体"/>
              <w:bCs/>
            </w:rPr>
            <w:t>白糖：破位下跌后反弹，预计区间震荡</w:t>
          </w:r>
          <w:r>
            <w:rPr>
              <w:bCs/>
            </w:rPr>
            <w:fldChar w:fldCharType="end"/>
          </w:r>
        </w:p>
        <w:p>
          <w:pPr>
            <w:pStyle w:val="74"/>
            <w:tabs>
              <w:tab w:val="right" w:leader="dot" w:pos="8306"/>
            </w:tabs>
          </w:pPr>
          <w:r>
            <w:rPr>
              <w:bCs/>
            </w:rPr>
            <w:fldChar w:fldCharType="begin"/>
          </w:r>
          <w:r>
            <w:rPr>
              <w:bCs/>
            </w:rPr>
            <w:instrText xml:space="preserve"> HYPERLINK \l _Toc8137 </w:instrText>
          </w:r>
          <w:r>
            <w:rPr>
              <w:bCs/>
            </w:rPr>
            <w:fldChar w:fldCharType="separate"/>
          </w:r>
          <w:r>
            <w:rPr>
              <w:rFonts w:hint="eastAsia" w:ascii="楷体" w:hAnsi="楷体" w:eastAsia="楷体"/>
              <w:bCs/>
            </w:rPr>
            <w:t>棉花：受原油价格影响外盘走高，但需求疲弱仍使长线价格承压</w:t>
          </w:r>
          <w:r>
            <w:rPr>
              <w:bCs/>
            </w:rPr>
            <w:fldChar w:fldCharType="end"/>
          </w:r>
        </w:p>
        <w:p>
          <w:pPr>
            <w:pStyle w:val="59"/>
            <w:tabs>
              <w:tab w:val="right" w:leader="dot" w:pos="8306"/>
            </w:tabs>
          </w:pPr>
          <w:r>
            <w:rPr>
              <w:bCs/>
            </w:rPr>
            <w:fldChar w:fldCharType="begin"/>
          </w:r>
          <w:r>
            <w:rPr>
              <w:bCs/>
            </w:rPr>
            <w:instrText xml:space="preserve"> HYPERLINK \l _Toc16506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_Toc28591 </w:instrText>
          </w:r>
          <w:r>
            <w:rPr>
              <w:bCs/>
            </w:rPr>
            <w:fldChar w:fldCharType="separate"/>
          </w:r>
          <w:r>
            <w:rPr>
              <w:rFonts w:hint="eastAsia" w:ascii="Times New Roman" w:hAnsi="Times New Roman" w:eastAsia="楷体"/>
              <w:szCs w:val="24"/>
            </w:rPr>
            <w:t>集运指数（欧线）：马士基地中海接连抬价，EC主力合约续创新高</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30985"/>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17083"/>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关注IF低多机会</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昨日陆家嘴论坛会议围绕资本市场中长期基础建设展开，内容略不及市场预期，对市场情绪有所扰动，但措辞表态坚，表明改革势在必行，中长期有利于资本市场健康发展。我们仍认为大盘指数在7月三中全会中长期经济改革利好的预期牵引之下市场并没有大幅回调风险，依然是结构轮动为主。短线科技成长板块在政策利好下有一定机会，强监管周期下，市场风格中期预计重返大盘股，大盘短期处于震荡区间下沿，可考虑低位布局IF多单。</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10117"/>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29938"/>
      <w:r>
        <w:rPr>
          <w:rFonts w:hint="eastAsia" w:ascii="Times New Roman" w:hAnsi="Times New Roman" w:eastAsia="楷体"/>
          <w:b/>
          <w:color w:val="000000" w:themeColor="text1"/>
          <w:sz w:val="24"/>
          <w:szCs w:val="24"/>
          <w14:textFill>
            <w14:solidFill>
              <w14:schemeClr w14:val="tx1"/>
            </w14:solidFill>
          </w14:textFill>
        </w:rPr>
        <w:t>贵金属：全球黄金ETF持仓正向流入，贵金属价格上涨</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涨0.20%至552.46元/克，沪银涨1.44%至7879元/千克。世界黄金协会统计，5月全球黄金ETF流入5.29亿美元，为近12个月以来首次月度的正向流入；截至5月底，全球黄金ETF总持仓量3088吨，资产管理总规模较4月增长2%。加拿大央行表示，尽管通胀进展可能停滞的风险，但指标显示已经取得足够进展，考虑7月降息的可能性。后续持续跟踪美国通胀及经济表现，中长期角度而言，美元指数及美债收益率或偏弱震荡，利率下行的环境中贵金属作为零息资产的配置价值上升，建议贵金属中长期维持偏多思路，回调至均线支撑附近可轻仓试多。</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_Toc3096"/>
      <w:bookmarkStart w:id="12" w:name="金属"/>
      <w:bookmarkStart w:id="13" w:name="_Toc26852"/>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10828"/>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碳酸锂：现货价格下行，期价小幅收跌</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价格下行，期价低开后略微回升收复部分跌幅，07合约跌0.53%至94000元/吨，07合约持仓减少11483手至10.38万手，碳酸锂注册仓单减少120手至27950手。近期主力合约移仓换月，根据广期所碳酸锂期货合约持仓限制要求，LC2407合约交割月前1个月第15个交易日（下周一6月24日起）至交割月份之前，限仓为1000手，敬请留意持仓情况。七月三元电芯或有一定的排产回升预期，锂价近期下跌后外采矿石提锂成本倒挂，进口持续对供应贡献增量，下游需求仍相对偏弱，留意下方9万元/吨整数关口支撑，期价短期内或偏弱震荡。</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6247"/>
      <w:bookmarkStart w:id="19" w:name="_Toc8897"/>
      <w:bookmarkStart w:id="20" w:name="_Toc25373"/>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驱动相对有限，短期窄幅震荡</w:t>
      </w:r>
      <w:bookmarkEnd w:id="2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近期宏观情绪引导走弱，回归基本面来看，矿端短期难以扭转紧缺局面，氧化铝价格仍有支撑，电解铝冶炼利润丰厚，中游投产积极，开产产能持续提升，下游加工企业淡季开工率略有下调，但库存仍在去库，近期铝价下降带动下游备库情绪，市场消费情绪偏向乐观，驱动相对有限的情况下，铝价或短期内保持窄幅震荡，参考区间20000-21500。</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25663"/>
      <w:r>
        <w:rPr>
          <w:rFonts w:hint="eastAsia" w:ascii="楷体" w:hAnsi="楷体" w:eastAsia="楷体"/>
          <w:b/>
          <w:color w:val="000000" w:themeColor="text1"/>
          <w:sz w:val="24"/>
          <w:szCs w:val="24"/>
          <w14:textFill>
            <w14:solidFill>
              <w14:schemeClr w14:val="tx1"/>
            </w14:solidFill>
          </w14:textFill>
        </w:rPr>
        <w:t>锌：锌价上冲动力有限，等待逢高做空机会</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利多出尽，锌价转为基本面因素引导，TC加工费低迷反映出矿端供应持续紧张，中游冶炼利润倒挂催动部分产能主动减停，目前产量下行但仍位于历史同期相对高位，库存高位但去库缓慢，下游消费带动有限，地产、基建项目开工延迟导致旺季不旺，近期锌价高位回调后再度反弹，由于现实供需两端依旧偏弱，如需求数据表现维持平平，则锌价上冲动力有限，建议逢高布空。</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13833"/>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：短期偏震荡运行，上下空间均不大</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(1)产业：英美资源集团周二称，该公司位于智利的Los Bronces铜矿明年的铜产量预计将比历史平均水平下降近三分之一，原因是该公司暂停了一座加工厂以进行维修。</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(2)库存：6月19日，SHFE仓单库存258050吨，减3996吨；LME仓单库存158700吨，增2850吨。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(3)精废价差：6月19日，Mysteel精废价差1368，收窄126。目前价差在合理价差1484之下。</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美国5月零售销售数据不及预期，提振了市场对美联储降息预期，有色金属整体有所回升。基本面，铜矿偏紧预期仍存对价格形成一定支撑，但冶炼厂原料仍充裕精铜产量或不受影响，需求相对疲弱下，库存保持高位，现货贴水运行，短期价格偏震荡为主，上下空间均不大，关注持仓量变化。</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31050"/>
      <w:r>
        <w:rPr>
          <w:rFonts w:hint="eastAsia" w:ascii="楷体" w:hAnsi="楷体" w:eastAsia="楷体"/>
          <w:b/>
          <w:color w:val="000000" w:themeColor="text1"/>
          <w:sz w:val="24"/>
          <w:szCs w:val="24"/>
          <w14:textFill>
            <w14:solidFill>
              <w14:schemeClr w14:val="tx1"/>
            </w14:solidFill>
          </w14:textFill>
        </w:rPr>
        <w:t>镍：基本面走弱，镍价缺乏反弹驱动</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原料端，印尼镍矿审批加快；钢厂对镍铁高价采购情绪减弱，镍铁价格承压运行；中间品偏紧情况暂未明显好转，价格随近日镍价下跌而有所下调；硫酸镍供需两弱，成本下降，因此价格呈弱势运行。供需方面，全球镍市过剩格局有所收窄，但国内精炼镍产能持续释放，终端三元材料领域对镍需求疲软，不锈钢终端需求亦不见起色。库存方面，镍价下跌促进下游逢低采购，上周国内库存去化。综合而言，虽宏观利空情绪逐渐被消化，但印尼镍矿KRAB审批加快使镍溢价回吐，镍成本支撑减弱，国内过剩压力持续，短期镍价缺乏反弹驱动，操作上建议持逢高沽空思路。</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7450"/>
      <w:r>
        <w:rPr>
          <w:rFonts w:hint="eastAsia" w:ascii="楷体" w:hAnsi="楷体" w:eastAsia="楷体"/>
          <w:b/>
          <w:color w:val="000000" w:themeColor="text1"/>
          <w:sz w:val="24"/>
          <w:szCs w:val="24"/>
          <w14:textFill>
            <w14:solidFill>
              <w14:schemeClr w14:val="tx1"/>
            </w14:solidFill>
          </w14:textFill>
        </w:rPr>
        <w:t>不锈钢：供需矛盾凸显，对价格持偏弱观点</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方面，目前印尼镍矿现实供应仍偏紧，但印尼镍矿RKAB审批加快，矿紧预期大幅缓解。镍铁方面，不锈钢需求偏弱向上游传导，钢厂对镍铁高价采购情绪减弱，镍铁价格小幅下调。供需方面，不锈钢排产处于高位水平，然而下游成交氛围冷清，社会库存累库幅度增大，仓单库存已超19万吨，反映供应压力加大。综合而言，宏观利空情绪出尽，价格将逐步回归基本面，不锈钢成本支撑减弱，下游需求未有起色，仓单库存历史高位，对价格带来压制，预计价格偏弱运行，关注镍铁价格及不锈钢厂排产情况。</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25251"/>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工厂暂无明显库存压力，短期或维持震荡运行</w:t>
      </w:r>
      <w:bookmarkEnd w:id="25"/>
    </w:p>
    <w:p>
      <w:pPr>
        <w:ind w:left="630" w:leftChars="300"/>
        <w:rPr>
          <w:rFonts w:ascii="楷体" w:hAnsi="楷体" w:eastAsia="楷体"/>
          <w:sz w:val="24"/>
          <w:szCs w:val="24"/>
        </w:rPr>
      </w:pPr>
      <w:r>
        <w:rPr>
          <w:rFonts w:hint="eastAsia" w:ascii="楷体" w:hAnsi="楷体" w:eastAsia="楷体"/>
          <w:sz w:val="24"/>
          <w:szCs w:val="24"/>
        </w:rPr>
        <w:t>6月19日，Si2409主力合约有所反弹，收盘价12020元/吨，较上一收盘价涨跌幅+0.71%。近日，受下游需求疲软影响，现货价格再度下调，使得盘面整体承压回调。从基本面来看，西南复产持续推进，据SMM调研了解，四川工厂已基本完成复产，而云南复产进度相对较难，后续复产确定性较强，反观下游需求暂无明显改善迹象。整体来看，基本面延续宽松格局，但由于此前较多工厂已锁定部分丰水期产量利润，当前工厂暂无明显库存压力，短期盘面或维持震荡运行，参考区间（11800，12500）。策略上，可尝试波段操作。</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6" w:name="化工"/>
      <w:r>
        <w:rPr>
          <w:rFonts w:hint="eastAsia" w:ascii="Times New Roman" w:hAnsi="Times New Roman" w:eastAsia="楷体"/>
          <w:b/>
          <w:color w:val="823C0B"/>
          <w:sz w:val="30"/>
          <w:szCs w:val="30"/>
        </w:rPr>
        <w:t xml:space="preserve"> </w:t>
      </w:r>
      <w:bookmarkStart w:id="27" w:name="_Toc21007"/>
      <w:r>
        <w:rPr>
          <w:rFonts w:hint="eastAsia" w:ascii="Times New Roman" w:hAnsi="Times New Roman" w:eastAsia="楷体"/>
          <w:b/>
          <w:color w:val="823C0B"/>
          <w:sz w:val="30"/>
          <w:szCs w:val="30"/>
        </w:rPr>
        <w:t>[化工]</w:t>
      </w:r>
      <w:bookmarkEnd w:id="26"/>
      <w:bookmarkEnd w:id="27"/>
    </w:p>
    <w:p>
      <w:pPr>
        <w:ind w:firstLine="482" w:firstLineChars="200"/>
        <w:outlineLvl w:val="1"/>
        <w:rPr>
          <w:rFonts w:ascii="楷体" w:hAnsi="楷体" w:eastAsia="楷体"/>
          <w:b/>
          <w:sz w:val="24"/>
          <w:szCs w:val="24"/>
        </w:rPr>
      </w:pPr>
      <w:bookmarkStart w:id="28" w:name="_Toc2787"/>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供应逐步上量 天胶震荡整理为主</w:t>
      </w:r>
      <w:bookmarkEnd w:id="28"/>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点评：昨日天然橡胶主力合约大幅回落。目前看，近期泰国主产区天气仍有扰动，导致新胶产出量较少，泰国宋卡地区原料价格止跌回升，给予盘面较强底部支撑。国内云南产区干旱问题有所缓解，胶水价格居高维稳。据当地胶农反映，目前产区橡胶林长势正常。需求端来看，下游轮胎企业开工率高位维持，半钢胎在海外出口需求旺盛下，开工率高位持稳，对原料补库积极性提高，提振天胶消费。全钢胎消费则令人堪忧，因整体需求偏弱，各企业成品库存表现不一，后期不排除个别企业会出现生产降速的可能性。终端汽车方面，6月车企优惠政策延续。根据工信部最新公布的新车上市名录里面可以看到，多家车企的新车型与换代车型将于近期发售，亦将刺激未来汽车销售增长预期。整体看，近期海外原料价格表现坚挺，仍处于偏强水平，对胶价存底部支撑明显。但节后归来橡胶因短线涨幅过大、合成橡胶向上乏力以及全钢胎大范围检修而冲高回落。但中长线来看，全年天然橡胶依旧处于供小于求的供需格局，建议待回调到位后关注逢低做多的机会。</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29" w:name="_Toc13710"/>
      <w:r>
        <w:rPr>
          <w:rFonts w:hint="eastAsia" w:ascii="Times New Roman" w:hAnsi="Times New Roman" w:eastAsia="楷体"/>
          <w:b/>
          <w:color w:val="000000" w:themeColor="text1"/>
          <w:sz w:val="24"/>
          <w:szCs w:val="24"/>
          <w14:textFill>
            <w14:solidFill>
              <w14:schemeClr w14:val="tx1"/>
            </w14:solidFill>
          </w14:textFill>
        </w:rPr>
        <w:t>聚烯烃：需求迈入淡季 聚烯烃或延续震荡整理</w:t>
      </w:r>
      <w:bookmarkEnd w:id="29"/>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目前聚烯烃仍处于石化厂检修季节，供应端减量，石化库存中性偏高，开工负荷均处于低位，装置检修损失量较高。聚烯烃整体市场需求并不是很好，订单持平偏弱，利润同比更弱，成品库存较高的情况下难以看到大规模的补库，整体处于下游旺季结束阶段，PE下游农膜开工率季节性回落，其余下游需求尚可。PP进口窗口关闭，LL进口利润与PP出口利润盈亏平衡附近。6月份聚烯烃供需格局有继续走弱的预期，主要是供应端后期检修装置减少，供应环比增加，下半年还有新装置投产的预期，其中PP表现的更加明显。</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0" w:name="_Toc14020"/>
      <w:r>
        <w:rPr>
          <w:rFonts w:hint="eastAsia" w:ascii="Times New Roman" w:hAnsi="Times New Roman" w:eastAsia="楷体"/>
          <w:b/>
          <w:color w:val="000000" w:themeColor="text1"/>
          <w:sz w:val="24"/>
          <w:szCs w:val="24"/>
          <w14:textFill>
            <w14:solidFill>
              <w14:schemeClr w14:val="tx1"/>
            </w14:solidFill>
          </w14:textFill>
        </w:rPr>
        <w:t>玻璃:</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楷体"/>
          <w:b/>
          <w:color w:val="000000" w:themeColor="text1"/>
          <w:sz w:val="24"/>
          <w:szCs w:val="24"/>
          <w14:textFill>
            <w14:solidFill>
              <w14:schemeClr w14:val="tx1"/>
            </w14:solidFill>
          </w14:textFill>
        </w:rPr>
        <w:t>受房地产数据表现不佳打压，期货价格低位徘徊</w:t>
      </w:r>
      <w:bookmarkEnd w:id="30"/>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盘面上看，玻璃本日盘收盘价为1574元/吨，反复弱震荡。现货方面，浮法玻璃河北沙河大板现货轻微下跌4元/吨至1516元/吨，保持疲弱。库存方面，玻璃在产企业总库存为5813.65万重量箱，环比上周上升8.35万重量箱。现货端，华北产销较好、华中地区受雨季影响日度产销回落，各地区开始降价销售。宏观方面，5月17日房地产利好政策有利情绪支撑。但6月17日，根据国家统计局公布2024年5月份各线城市商品住宅销售价格月率下降、年率降幅略有扩大。其中，北京、广州和深圳分别下降1.1%、1.4% 和0.8%，上海上涨0.6%，终端需求再受打击。</w:t>
      </w:r>
    </w:p>
    <w:p>
      <w:pPr>
        <w:ind w:left="630" w:leftChars="300"/>
        <w:rPr>
          <w:rFonts w:hint="eastAsia" w:ascii="楷体" w:hAnsi="楷体" w:eastAsia="楷体"/>
          <w:sz w:val="24"/>
          <w:szCs w:val="24"/>
        </w:rPr>
      </w:pPr>
      <w:r>
        <w:rPr>
          <w:rFonts w:hint="eastAsia" w:ascii="楷体" w:hAnsi="楷体" w:eastAsia="楷体"/>
          <w:sz w:val="24"/>
          <w:szCs w:val="24"/>
        </w:rPr>
        <w:t>总体来看，但6月市场情绪回落，叠加地产数据打压期货盘面，前期政策利多因素消化后玻璃期货转为交易现实。目前盘面处于升水状态，基差存在一定修复动力，短期内预计期价弱震荡建议观望。</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1" w:name="_Toc28015"/>
      <w:r>
        <w:rPr>
          <w:rFonts w:hint="eastAsia" w:ascii="Times New Roman" w:hAnsi="Times New Roman" w:eastAsia="楷体"/>
          <w:b/>
          <w:color w:val="000000" w:themeColor="text1"/>
          <w:sz w:val="24"/>
          <w:szCs w:val="24"/>
          <w14:textFill>
            <w14:solidFill>
              <w14:schemeClr w14:val="tx1"/>
            </w14:solidFill>
          </w14:textFill>
        </w:rPr>
        <w:t>纯碱：供应偏松空头情绪浓厚，期市弱势延续</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盘面来看，作夜盘纯碱主力合约收盘2086元/吨。现货来看，国内价格有调降迹象，截至目前，华北重碱、华中轻碱价格保持偏弱；随着前期检修企业恢复生产，纯碱供应将有所增加；下游需求仍维持稳定。</w:t>
      </w:r>
    </w:p>
    <w:p>
      <w:pPr>
        <w:ind w:left="630" w:leftChars="300"/>
        <w:rPr>
          <w:rFonts w:hint="eastAsia" w:ascii="楷体" w:hAnsi="楷体" w:eastAsia="楷体"/>
          <w:sz w:val="24"/>
          <w:szCs w:val="24"/>
        </w:rPr>
      </w:pPr>
      <w:r>
        <w:rPr>
          <w:rFonts w:hint="eastAsia" w:ascii="楷体" w:hAnsi="楷体" w:eastAsia="楷体"/>
          <w:sz w:val="24"/>
          <w:szCs w:val="24"/>
        </w:rPr>
        <w:t>基本面，本周纯碱行业开工约86.28%，环比上升8.3%。在需求端，玻璃行业等主要下游市场的需求呈现疲软态势。特别是轻碱市场需求明显下滑，出货难度增加，成交活跃度在低价位时有所提升，但面对高价时却存在明显的抵触情绪。这种需求不振的状况使得整体市场信心进一步受到打击。另外，5.17房地产新政发布之后，楼市尚未出现明显回暖，各线城市房价仍处于环比下降。</w:t>
      </w:r>
    </w:p>
    <w:p>
      <w:pPr>
        <w:ind w:left="630" w:leftChars="300"/>
        <w:rPr>
          <w:rFonts w:ascii="楷体" w:hAnsi="楷体" w:eastAsia="楷体"/>
          <w:sz w:val="24"/>
          <w:szCs w:val="24"/>
        </w:rPr>
      </w:pPr>
      <w:r>
        <w:rPr>
          <w:rFonts w:hint="eastAsia" w:ascii="楷体" w:hAnsi="楷体" w:eastAsia="楷体"/>
          <w:sz w:val="24"/>
          <w:szCs w:val="24"/>
        </w:rPr>
        <w:t>目前，主力合约近两天连续低位收十字，偏弱震荡，短期预计纯碱现货价格偏弱，后市仍需主要关注供应端变动情况。</w:t>
      </w:r>
    </w:p>
    <w:p>
      <w:pPr>
        <w:rPr>
          <w:rFonts w:hint="eastAsia" w:ascii="楷体" w:hAnsi="楷体" w:eastAsia="楷体"/>
          <w:color w:val="000000" w:themeColor="text1"/>
          <w:sz w:val="24"/>
          <w:szCs w:val="24"/>
          <w14:textFill>
            <w14:solidFill>
              <w14:schemeClr w14:val="tx1"/>
            </w14:solidFill>
          </w14:textFill>
        </w:rPr>
      </w:pP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2" w:name="_Toc8379"/>
      <w:r>
        <w:rPr>
          <w:rFonts w:hint="eastAsia" w:ascii="Times New Roman" w:hAnsi="Times New Roman" w:eastAsia="楷体"/>
          <w:b/>
          <w:color w:val="823C0B"/>
          <w:sz w:val="30"/>
          <w:szCs w:val="30"/>
        </w:rPr>
        <w:t>[农产品]</w:t>
      </w:r>
      <w:bookmarkEnd w:id="14"/>
      <w:bookmarkEnd w:id="32"/>
    </w:p>
    <w:p>
      <w:pPr>
        <w:pStyle w:val="93"/>
        <w:spacing w:before="60" w:beforeAutospacing="0" w:after="60" w:afterAutospacing="0"/>
        <w:ind w:left="420" w:leftChars="200"/>
        <w:outlineLvl w:val="1"/>
        <w:rPr>
          <w:rFonts w:ascii="楷体" w:hAnsi="楷体" w:eastAsia="楷体"/>
          <w:b/>
        </w:rPr>
      </w:pPr>
      <w:bookmarkStart w:id="33" w:name="_Toc11873"/>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期价夜盘震荡运行</w:t>
      </w:r>
      <w:bookmarkEnd w:id="33"/>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市场依然担心东北产区玉米高价往下游传导的问题，因玉米产销区价差与华北-东北玉米价差持续处于历史同期低位，当前市场担忧主要集中在陈化水稻投放和新作小麦上市两个层面，在我们看来，陈稻层面国家没有动力/意愿降价抛储，那么在当前期现货水平下陈稻即使抛储亦不能带来实质供应；而新作小麦层面则一方面产量不及预期，另一方面国家启动增储收购，这有望使得小麦饲用替代量受限，因此，我们倾向于认为国内玉米存在产需缺口。当然，考虑到当前期价更贴近北方港口甚至东北产区现货价格，仍需要现货特别是华北产区和南方销区上涨来实现正向反馈。综上所述，我们维持谨慎看多观点，建议投资者持有前期多单。</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考虑到淀粉副产品受蛋白粕带动相对弱势，而盘面生产利润均处于亏损状态，这有望抑制淀粉-玉米价差收窄的空间。后期价差能否走扩则需要重点留意国家增储背景下的华北-东北玉米价差走势，因其将抬高华北淀粉生产成本，一方面直接带动淀粉交割成本，另一方面间接带动中下游阶段性补库，从而带动行业供需改善。综上所述，我们维持谨慎看多观点，建议前期多单可以考虑继续持有，同时可以考虑做扩淀粉-玉米价差。</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4" w:name="_Toc18049"/>
      <w:r>
        <w:rPr>
          <w:rFonts w:hint="eastAsia" w:ascii="楷体" w:hAnsi="楷体" w:eastAsia="楷体"/>
          <w:b/>
          <w:bCs/>
          <w:color w:val="000000" w:themeColor="text1"/>
          <w14:textFill>
            <w14:solidFill>
              <w14:schemeClr w14:val="tx1"/>
            </w14:solidFill>
          </w14:textFill>
        </w:rPr>
        <w:t>畜禽养殖：现货带动基差小幅走弱</w:t>
      </w:r>
      <w:bookmarkEnd w:id="3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市场基于生猪和能繁母猪存栏下滑，合理预计接下来直至四季度生猪出栏量环比与同比下滑，但由于生产效率（如配种分娩率对冲产能去化的影响）、饲料成本（相同养殖利润下生猪绝对价格下滑）和生猪出栏体重（在一定程度上对冲出栏量下降对猪肉供应量的影响）等因素，在一定程度上使得市场对猪价高点预期弱于2022年。五月以来的现货上涨过程中，养殖户有压栏情况且二次育肥积极入场，导致出栏量持续环比下降，宰后均重上升，现货表现强势，但市场担心供应后移其实不利于后期期现货表现，甚至担心端午节需求释放之后现货或出现回落，这体现在期价特别是近月深度贴水现货上。在这种情况下，考虑到目前期价均贴水现货，接下来需要特别留意现货走势，因市场将据此判断生猪市场供需预期。在我们看来，如接下来养殖户出栏加快，带动出栏均重和宰后均重下滑，反而有利于下半年猪价上涨。据此我们中期谨慎看多，短期暂维持中性观点，建议投资者观望为宜。</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从供需层面看，卓创资讯公布的在产蛋鸡存栏持续环比增加，考虑到老龄蛋鸡占比下降，意味着可淘老鸡数量受限，再加上春节后鸡蛋现货价格带动鸡苗价格和种蛋利用率回升，这些均表明行业供需依然宽松，亟待行业养殖利润持续亏损，来推动养殖进行产能去化。五月中以来的鸡蛋现货超预期上涨可能带来市场对供需预期的分歧，除去需求端增量即南方持续降雨带来蔬菜缺口继而催生鸡蛋阶段性补库之外，还可能表明供应端亦不及市场之前预期，因多家机构数据均显示去年底以来蛋鸡淘汰量同比大幅增加。接下来需要重点关注两个方面，其一是饲料原料端即豆粕和玉米走势，因饲料在鸡蛋养殖成本中占比较大；其二是现货走势，因目前基差继续处于历史同期高位，如果现货在接下来的淡季表现抗跌，则可能带来市场对供需预期的变化。综上所述，我们暂维持中性观点，建议投资者观望为宜，可考虑轻仓择机入场做多旺季合约。</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5" w:name="_Toc21468"/>
      <w:r>
        <w:rPr>
          <w:rFonts w:hint="eastAsia" w:ascii="楷体" w:hAnsi="楷体" w:eastAsia="楷体"/>
          <w:b/>
          <w:bCs/>
          <w:color w:val="000000" w:themeColor="text1"/>
          <w14:textFill>
            <w14:solidFill>
              <w14:schemeClr w14:val="tx1"/>
            </w14:solidFill>
          </w14:textFill>
        </w:rPr>
        <w:t>白糖：破位下跌后反弹，预计区间震荡</w:t>
      </w:r>
      <w:bookmarkEnd w:id="3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纽约ICE休市，伦敦白砂糖主力合约上涨1.41%。目前市场仍在巴西减产和全球增产中摇摆，期价震荡运行。伦敦期价在经历了3天下跌后，反弹整理。国内昨日夜盘白糖主力合约上涨0.75%。国内现阶段基差不断扩大，终端采购现阶段购入现货意愿或不强烈，导致白糖走货不佳。昨日盘面反弹为破位后的整理。市场短期内缺乏提振糖价的素材，需关注6000元/吨能否作为支撑线，预计期价在当前区间震荡运行。</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6" w:name="_Toc8137"/>
      <w:r>
        <w:rPr>
          <w:rFonts w:hint="eastAsia" w:ascii="楷体" w:hAnsi="楷体" w:eastAsia="楷体"/>
          <w:b/>
          <w:bCs/>
          <w:color w:val="000000" w:themeColor="text1"/>
          <w14:textFill>
            <w14:solidFill>
              <w14:schemeClr w14:val="tx1"/>
            </w14:solidFill>
          </w14:textFill>
        </w:rPr>
        <w:t>棉花：受原油价格影响外盘走高，但需求疲弱仍使长线价格承压</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美棉上涨1.32%，期价反弹。由于原油价格持续上涨，棉花的替代品聚酯纤维也随之走高，棉花价格低位也受其影响反弹。而国内昨日夜盘棉花主力合约下跌0.07%，为跟随外盘变动。需求疲弱依旧是产业主要矛盾，棉价持续下跌给轧花厂造成较大压力，中低品质棉花小幅让利。而纺企下游贸易商采购价低于纺企报价，走货依旧不畅。当前下游市场淡季特征明显，棉价依旧有下行预期。</w:t>
      </w:r>
    </w:p>
    <w:p>
      <w:pPr>
        <w:pStyle w:val="93"/>
        <w:spacing w:before="0" w:beforeAutospacing="0" w:after="60" w:afterAutospacing="0"/>
        <w:ind w:left="630" w:leftChars="30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37" w:name="_Toc16506"/>
      <w:r>
        <w:rPr>
          <w:rFonts w:hint="eastAsia" w:ascii="Times New Roman" w:hAnsi="Times New Roman" w:eastAsia="楷体"/>
          <w:b/>
          <w:color w:val="823C0B"/>
          <w:sz w:val="30"/>
          <w:szCs w:val="30"/>
        </w:rPr>
        <w:t>[指数]</w:t>
      </w:r>
      <w:bookmarkEnd w:id="3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38" w:name="_Toc28591"/>
      <w:r>
        <w:rPr>
          <w:rFonts w:hint="eastAsia" w:ascii="Times New Roman" w:hAnsi="Times New Roman" w:eastAsia="楷体"/>
          <w:b/>
          <w:color w:val="000000" w:themeColor="text1"/>
          <w:sz w:val="24"/>
          <w:szCs w:val="24"/>
          <w14:textFill>
            <w14:solidFill>
              <w14:schemeClr w14:val="tx1"/>
            </w14:solidFill>
          </w14:textFill>
        </w:rPr>
        <w:t>集运指数（欧线）：马士基地中海接连抬价，EC主力合约续创新高</w:t>
      </w:r>
      <w:bookmarkEnd w:id="38"/>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6月17日盘后公布，SCFIS欧线最新为4688.53点，环比上涨10.84%，实际结算运价有所支撑。</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供应端来看，随着旺季出货需求提升，三大联盟在欧线新增了合计周均运力1.8万TEU，相当于当前欧线运力的6%，以满足需求并提高收益。尽管船司面临船舶无法按时返回上海港导致的被动空班情况，但运费仍将维持高位，而港口拥堵虽有发生但未形成连锁反应。</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马士基打响7月份涨价第一炮，马士基最新公布7月1日开始实施的的欧线运价上涨了15~20%，小柜5000美元，大柜9000美元。由于现货舱位偏紧且圣诞货物出口尚未完全开启，现货运费仍有上涨空间，市场接受意愿度也会逐步有序提高。</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利好支撑短期运价，远月端受消息面扰动，本日受多头高位减仓影响稍有回落。周末由于现货价格落地超预期，EC近月合约继续创新高，短期EC价格高位波动，建议短期内低多为主。</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9" w:name="_Toc12779"/>
      <w:bookmarkStart w:id="40" w:name="_Toc19667"/>
      <w:bookmarkStart w:id="41" w:name="_Toc98426751"/>
      <w:bookmarkStart w:id="42" w:name="_Toc71212556"/>
      <w:bookmarkStart w:id="43" w:name="_Toc72481108"/>
      <w:r>
        <w:rPr>
          <w:rFonts w:ascii="Times New Roman" w:hAnsi="Times New Roman" w:eastAsia="楷体"/>
          <w:b/>
          <w:color w:val="411D05"/>
          <w:sz w:val="30"/>
          <w:szCs w:val="30"/>
        </w:rPr>
        <w:t>免责声明</w:t>
      </w:r>
      <w:bookmarkEnd w:id="39"/>
      <w:bookmarkEnd w:id="40"/>
      <w:bookmarkEnd w:id="41"/>
      <w:bookmarkEnd w:id="42"/>
      <w:bookmarkEnd w:id="43"/>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2024年6月20日星期四</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954D8D"/>
    <w:rsid w:val="02E32A5D"/>
    <w:rsid w:val="035D5749"/>
    <w:rsid w:val="03A507DC"/>
    <w:rsid w:val="04C17862"/>
    <w:rsid w:val="04E41B77"/>
    <w:rsid w:val="057D13AE"/>
    <w:rsid w:val="064A667C"/>
    <w:rsid w:val="06B2613D"/>
    <w:rsid w:val="06B753E3"/>
    <w:rsid w:val="07321D04"/>
    <w:rsid w:val="08A51999"/>
    <w:rsid w:val="09B849A4"/>
    <w:rsid w:val="09F160E3"/>
    <w:rsid w:val="0AC64130"/>
    <w:rsid w:val="0B42525D"/>
    <w:rsid w:val="0BF11AD7"/>
    <w:rsid w:val="0C1F7DEE"/>
    <w:rsid w:val="0C88769D"/>
    <w:rsid w:val="0CDE660D"/>
    <w:rsid w:val="0D032A7C"/>
    <w:rsid w:val="0DB77106"/>
    <w:rsid w:val="0E955A36"/>
    <w:rsid w:val="0F662138"/>
    <w:rsid w:val="0F9B0CE9"/>
    <w:rsid w:val="0FF35275"/>
    <w:rsid w:val="100732C8"/>
    <w:rsid w:val="10DA6205"/>
    <w:rsid w:val="10E86139"/>
    <w:rsid w:val="111441F0"/>
    <w:rsid w:val="113D3FD2"/>
    <w:rsid w:val="121F7D21"/>
    <w:rsid w:val="129B2E20"/>
    <w:rsid w:val="12AA5DF8"/>
    <w:rsid w:val="132A04C1"/>
    <w:rsid w:val="1330029C"/>
    <w:rsid w:val="134E6356"/>
    <w:rsid w:val="13AE24B4"/>
    <w:rsid w:val="14D51A3C"/>
    <w:rsid w:val="15364A7C"/>
    <w:rsid w:val="15602ADB"/>
    <w:rsid w:val="15947E4C"/>
    <w:rsid w:val="15D52593"/>
    <w:rsid w:val="1626611D"/>
    <w:rsid w:val="16E2497F"/>
    <w:rsid w:val="17A736B0"/>
    <w:rsid w:val="197E6634"/>
    <w:rsid w:val="1B8A2034"/>
    <w:rsid w:val="1BC72FF7"/>
    <w:rsid w:val="1D03226A"/>
    <w:rsid w:val="1D5030CD"/>
    <w:rsid w:val="1D876087"/>
    <w:rsid w:val="1DFF64E4"/>
    <w:rsid w:val="1ECB51CD"/>
    <w:rsid w:val="1F515CF1"/>
    <w:rsid w:val="1FDC1B35"/>
    <w:rsid w:val="1FDD0CDB"/>
    <w:rsid w:val="2056595D"/>
    <w:rsid w:val="20AE4DE8"/>
    <w:rsid w:val="21194658"/>
    <w:rsid w:val="216834DE"/>
    <w:rsid w:val="21996AC1"/>
    <w:rsid w:val="219F3EE2"/>
    <w:rsid w:val="21F57098"/>
    <w:rsid w:val="22BA3902"/>
    <w:rsid w:val="22BB5089"/>
    <w:rsid w:val="22EF0361"/>
    <w:rsid w:val="23D146B7"/>
    <w:rsid w:val="240817CF"/>
    <w:rsid w:val="24321B2E"/>
    <w:rsid w:val="244B21DE"/>
    <w:rsid w:val="245C7DFE"/>
    <w:rsid w:val="247F3074"/>
    <w:rsid w:val="24B82D9D"/>
    <w:rsid w:val="251328EC"/>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FA14A50"/>
    <w:rsid w:val="2FA70F17"/>
    <w:rsid w:val="30CB447B"/>
    <w:rsid w:val="32951C0D"/>
    <w:rsid w:val="32F131F1"/>
    <w:rsid w:val="33CE5AF4"/>
    <w:rsid w:val="340E7198"/>
    <w:rsid w:val="34A75784"/>
    <w:rsid w:val="3581551C"/>
    <w:rsid w:val="35D65FDD"/>
    <w:rsid w:val="36C14F46"/>
    <w:rsid w:val="373F75CC"/>
    <w:rsid w:val="38F320AA"/>
    <w:rsid w:val="38FB27F3"/>
    <w:rsid w:val="39584559"/>
    <w:rsid w:val="399D40A5"/>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E419C"/>
    <w:rsid w:val="3EFE09FD"/>
    <w:rsid w:val="3F345DBE"/>
    <w:rsid w:val="40164730"/>
    <w:rsid w:val="40F15753"/>
    <w:rsid w:val="41F950F8"/>
    <w:rsid w:val="42EB3BA1"/>
    <w:rsid w:val="42F51780"/>
    <w:rsid w:val="43F11831"/>
    <w:rsid w:val="43F63E0D"/>
    <w:rsid w:val="44092E2E"/>
    <w:rsid w:val="441077D2"/>
    <w:rsid w:val="44396064"/>
    <w:rsid w:val="458C38B3"/>
    <w:rsid w:val="459609D9"/>
    <w:rsid w:val="45A37566"/>
    <w:rsid w:val="45CF0A85"/>
    <w:rsid w:val="46194A11"/>
    <w:rsid w:val="461E2AF1"/>
    <w:rsid w:val="47752ACA"/>
    <w:rsid w:val="47A71483"/>
    <w:rsid w:val="47C813F2"/>
    <w:rsid w:val="48352178"/>
    <w:rsid w:val="489B63EF"/>
    <w:rsid w:val="48D7317F"/>
    <w:rsid w:val="49BF13F0"/>
    <w:rsid w:val="49D75468"/>
    <w:rsid w:val="49E169F0"/>
    <w:rsid w:val="4A4A74EF"/>
    <w:rsid w:val="4A6F6249"/>
    <w:rsid w:val="4AB74C38"/>
    <w:rsid w:val="4B14426D"/>
    <w:rsid w:val="4B6224E5"/>
    <w:rsid w:val="4B8C4A56"/>
    <w:rsid w:val="4BF97936"/>
    <w:rsid w:val="4C2C4D07"/>
    <w:rsid w:val="4C457E30"/>
    <w:rsid w:val="4CAC2FB1"/>
    <w:rsid w:val="4D2A3925"/>
    <w:rsid w:val="4D597189"/>
    <w:rsid w:val="4DB20386"/>
    <w:rsid w:val="4DF02D90"/>
    <w:rsid w:val="4E665CB5"/>
    <w:rsid w:val="4F271764"/>
    <w:rsid w:val="4F7D0512"/>
    <w:rsid w:val="4FBA2B77"/>
    <w:rsid w:val="4FD46E6F"/>
    <w:rsid w:val="5005695E"/>
    <w:rsid w:val="50286811"/>
    <w:rsid w:val="51266B84"/>
    <w:rsid w:val="51642661"/>
    <w:rsid w:val="5191036A"/>
    <w:rsid w:val="546B5509"/>
    <w:rsid w:val="548642E9"/>
    <w:rsid w:val="54C12E33"/>
    <w:rsid w:val="55633225"/>
    <w:rsid w:val="556D6DC3"/>
    <w:rsid w:val="563B25E1"/>
    <w:rsid w:val="56DD4D3A"/>
    <w:rsid w:val="57555A7B"/>
    <w:rsid w:val="5770382C"/>
    <w:rsid w:val="57846909"/>
    <w:rsid w:val="57CB522F"/>
    <w:rsid w:val="57F46FBE"/>
    <w:rsid w:val="58042686"/>
    <w:rsid w:val="58246D5D"/>
    <w:rsid w:val="58EC5960"/>
    <w:rsid w:val="58F400B4"/>
    <w:rsid w:val="59151C86"/>
    <w:rsid w:val="59C52328"/>
    <w:rsid w:val="5AD37D8A"/>
    <w:rsid w:val="5AF87BF9"/>
    <w:rsid w:val="5B906095"/>
    <w:rsid w:val="5BF60A75"/>
    <w:rsid w:val="5C813B75"/>
    <w:rsid w:val="5C9F2D01"/>
    <w:rsid w:val="5D3F3466"/>
    <w:rsid w:val="5D5617A6"/>
    <w:rsid w:val="5D716329"/>
    <w:rsid w:val="5EA23F15"/>
    <w:rsid w:val="5EA7685B"/>
    <w:rsid w:val="5ED40954"/>
    <w:rsid w:val="5EFA4E95"/>
    <w:rsid w:val="60BE22C5"/>
    <w:rsid w:val="612C30C5"/>
    <w:rsid w:val="619A2BBF"/>
    <w:rsid w:val="61DF02D0"/>
    <w:rsid w:val="62710E5F"/>
    <w:rsid w:val="63735B47"/>
    <w:rsid w:val="63FF1EA7"/>
    <w:rsid w:val="64C32497"/>
    <w:rsid w:val="669D0EEA"/>
    <w:rsid w:val="66B64FC1"/>
    <w:rsid w:val="66C861F9"/>
    <w:rsid w:val="66D04BBC"/>
    <w:rsid w:val="67655BF9"/>
    <w:rsid w:val="67C6389B"/>
    <w:rsid w:val="685D4EEE"/>
    <w:rsid w:val="68AE1587"/>
    <w:rsid w:val="68D53E8D"/>
    <w:rsid w:val="699C76C5"/>
    <w:rsid w:val="6A194855"/>
    <w:rsid w:val="6A2F056E"/>
    <w:rsid w:val="6B292599"/>
    <w:rsid w:val="6D9172E5"/>
    <w:rsid w:val="6DF1703F"/>
    <w:rsid w:val="6E133456"/>
    <w:rsid w:val="6ECB7DD2"/>
    <w:rsid w:val="6F123DD8"/>
    <w:rsid w:val="6F1E315D"/>
    <w:rsid w:val="6F79454F"/>
    <w:rsid w:val="6FE61065"/>
    <w:rsid w:val="70675779"/>
    <w:rsid w:val="70C135EC"/>
    <w:rsid w:val="712C7DE8"/>
    <w:rsid w:val="713E0334"/>
    <w:rsid w:val="716F5E64"/>
    <w:rsid w:val="72417AFE"/>
    <w:rsid w:val="729B5F03"/>
    <w:rsid w:val="72D92B78"/>
    <w:rsid w:val="72F62A89"/>
    <w:rsid w:val="731B289D"/>
    <w:rsid w:val="736D22BA"/>
    <w:rsid w:val="737357AF"/>
    <w:rsid w:val="74163BE4"/>
    <w:rsid w:val="74A928A6"/>
    <w:rsid w:val="75292EAC"/>
    <w:rsid w:val="755A5FEF"/>
    <w:rsid w:val="75775016"/>
    <w:rsid w:val="758E0106"/>
    <w:rsid w:val="7626762C"/>
    <w:rsid w:val="763869A4"/>
    <w:rsid w:val="7667781E"/>
    <w:rsid w:val="778F5135"/>
    <w:rsid w:val="77B53D6B"/>
    <w:rsid w:val="77D54B08"/>
    <w:rsid w:val="78431DDA"/>
    <w:rsid w:val="784F7772"/>
    <w:rsid w:val="78713929"/>
    <w:rsid w:val="78E55995"/>
    <w:rsid w:val="79267C0B"/>
    <w:rsid w:val="79C90FB7"/>
    <w:rsid w:val="7A25684F"/>
    <w:rsid w:val="7A4975BA"/>
    <w:rsid w:val="7A5B105F"/>
    <w:rsid w:val="7A9E5DA7"/>
    <w:rsid w:val="7ABE4B56"/>
    <w:rsid w:val="7B264F79"/>
    <w:rsid w:val="7B3E5659"/>
    <w:rsid w:val="7B4D21AB"/>
    <w:rsid w:val="7BCC4162"/>
    <w:rsid w:val="7C490DB7"/>
    <w:rsid w:val="7C7E37F7"/>
    <w:rsid w:val="7CD80967"/>
    <w:rsid w:val="7D0C2828"/>
    <w:rsid w:val="7D902239"/>
    <w:rsid w:val="7EAF7817"/>
    <w:rsid w:val="7F78012E"/>
    <w:rsid w:val="7F7B591C"/>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2024-06-20T02:14:26Z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