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_Toc28403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_Toc18915 </w:instrText>
          </w:r>
          <w:r>
            <w:rPr>
              <w:bCs/>
            </w:rPr>
            <w:fldChar w:fldCharType="separate"/>
          </w:r>
          <w:r>
            <w:rPr>
              <w:rFonts w:hint="eastAsia" w:ascii="Times New Roman" w:hAnsi="Times New Roman" w:eastAsia="楷体"/>
              <w:szCs w:val="24"/>
            </w:rPr>
            <w:t>股指：待企稳后关注IF低多机会</w:t>
          </w:r>
          <w:r>
            <w:rPr>
              <w:bCs/>
            </w:rPr>
            <w:fldChar w:fldCharType="end"/>
          </w:r>
        </w:p>
        <w:p>
          <w:pPr>
            <w:pStyle w:val="59"/>
            <w:tabs>
              <w:tab w:val="right" w:leader="dot" w:pos="8306"/>
            </w:tabs>
          </w:pPr>
          <w:r>
            <w:rPr>
              <w:bCs/>
            </w:rPr>
            <w:fldChar w:fldCharType="begin"/>
          </w:r>
          <w:r>
            <w:rPr>
              <w:bCs/>
            </w:rPr>
            <w:instrText xml:space="preserve"> HYPERLINK \l _Toc7142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_Toc27798 </w:instrText>
          </w:r>
          <w:r>
            <w:rPr>
              <w:bCs/>
            </w:rPr>
            <w:fldChar w:fldCharType="separate"/>
          </w:r>
          <w:r>
            <w:rPr>
              <w:rFonts w:hint="eastAsia" w:ascii="Times New Roman" w:hAnsi="Times New Roman" w:eastAsia="楷体"/>
              <w:szCs w:val="24"/>
            </w:rPr>
            <w:t>贵金属：美国零售销售环比低于预期，贵金属价格小幅上涨</w:t>
          </w:r>
          <w:r>
            <w:rPr>
              <w:bCs/>
            </w:rPr>
            <w:fldChar w:fldCharType="end"/>
          </w:r>
        </w:p>
        <w:p>
          <w:pPr>
            <w:pStyle w:val="59"/>
            <w:tabs>
              <w:tab w:val="right" w:leader="dot" w:pos="8306"/>
            </w:tabs>
          </w:pPr>
          <w:r>
            <w:rPr>
              <w:bCs/>
            </w:rPr>
            <w:fldChar w:fldCharType="begin"/>
          </w:r>
          <w:r>
            <w:rPr>
              <w:bCs/>
            </w:rPr>
            <w:instrText xml:space="preserve"> HYPERLINK \l _Toc6345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_Toc8730 </w:instrText>
          </w:r>
          <w:r>
            <w:rPr>
              <w:bCs/>
            </w:rPr>
            <w:fldChar w:fldCharType="separate"/>
          </w:r>
          <w:r>
            <w:rPr>
              <w:rFonts w:hint="eastAsia" w:ascii="楷体" w:hAnsi="楷体" w:eastAsia="楷体"/>
              <w:szCs w:val="24"/>
            </w:rPr>
            <w:t>碳酸锂：智利5月碳酸锂出口同比维持增长，期价进一步下跌</w:t>
          </w:r>
          <w:r>
            <w:rPr>
              <w:bCs/>
            </w:rPr>
            <w:fldChar w:fldCharType="end"/>
          </w:r>
        </w:p>
        <w:p>
          <w:pPr>
            <w:pStyle w:val="74"/>
            <w:tabs>
              <w:tab w:val="right" w:leader="dot" w:pos="8306"/>
            </w:tabs>
          </w:pPr>
          <w:r>
            <w:rPr>
              <w:bCs/>
            </w:rPr>
            <w:fldChar w:fldCharType="begin"/>
          </w:r>
          <w:r>
            <w:rPr>
              <w:bCs/>
            </w:rPr>
            <w:instrText xml:space="preserve"> HYPERLINK \l _Toc25180 </w:instrText>
          </w:r>
          <w:r>
            <w:rPr>
              <w:bCs/>
            </w:rPr>
            <w:fldChar w:fldCharType="separate"/>
          </w:r>
          <w:r>
            <w:rPr>
              <w:rFonts w:hint="eastAsia" w:ascii="楷体" w:hAnsi="楷体" w:eastAsia="楷体"/>
              <w:szCs w:val="24"/>
            </w:rPr>
            <w:t>铝：铝价低位区间震荡</w:t>
          </w:r>
          <w:r>
            <w:rPr>
              <w:bCs/>
            </w:rPr>
            <w:fldChar w:fldCharType="end"/>
          </w:r>
        </w:p>
        <w:p>
          <w:pPr>
            <w:pStyle w:val="74"/>
            <w:tabs>
              <w:tab w:val="right" w:leader="dot" w:pos="8306"/>
            </w:tabs>
          </w:pPr>
          <w:r>
            <w:rPr>
              <w:bCs/>
            </w:rPr>
            <w:fldChar w:fldCharType="begin"/>
          </w:r>
          <w:r>
            <w:rPr>
              <w:bCs/>
            </w:rPr>
            <w:instrText xml:space="preserve"> HYPERLINK \l _Toc15140 </w:instrText>
          </w:r>
          <w:r>
            <w:rPr>
              <w:bCs/>
            </w:rPr>
            <w:fldChar w:fldCharType="separate"/>
          </w:r>
          <w:r>
            <w:rPr>
              <w:rFonts w:hint="eastAsia" w:ascii="楷体" w:hAnsi="楷体" w:eastAsia="楷体"/>
              <w:szCs w:val="24"/>
            </w:rPr>
            <w:t>锌：锌价回调盘整建议观望为主</w:t>
          </w:r>
          <w:r>
            <w:rPr>
              <w:bCs/>
            </w:rPr>
            <w:fldChar w:fldCharType="end"/>
          </w:r>
        </w:p>
        <w:p>
          <w:pPr>
            <w:pStyle w:val="74"/>
            <w:tabs>
              <w:tab w:val="right" w:leader="dot" w:pos="8306"/>
            </w:tabs>
          </w:pPr>
          <w:r>
            <w:rPr>
              <w:bCs/>
            </w:rPr>
            <w:fldChar w:fldCharType="begin"/>
          </w:r>
          <w:r>
            <w:rPr>
              <w:bCs/>
            </w:rPr>
            <w:instrText xml:space="preserve"> HYPERLINK \l _Toc6546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：维持震荡承压运行，下方空间或不大</w:t>
          </w:r>
          <w:r>
            <w:rPr>
              <w:bCs/>
            </w:rPr>
            <w:fldChar w:fldCharType="end"/>
          </w:r>
        </w:p>
        <w:p>
          <w:pPr>
            <w:pStyle w:val="74"/>
            <w:tabs>
              <w:tab w:val="right" w:leader="dot" w:pos="8306"/>
            </w:tabs>
          </w:pPr>
          <w:r>
            <w:rPr>
              <w:bCs/>
            </w:rPr>
            <w:fldChar w:fldCharType="begin"/>
          </w:r>
          <w:r>
            <w:rPr>
              <w:bCs/>
            </w:rPr>
            <w:instrText xml:space="preserve"> HYPERLINK \l _Toc25514 </w:instrText>
          </w:r>
          <w:r>
            <w:rPr>
              <w:bCs/>
            </w:rPr>
            <w:fldChar w:fldCharType="separate"/>
          </w:r>
          <w:r>
            <w:rPr>
              <w:rFonts w:hint="eastAsia" w:ascii="楷体" w:hAnsi="楷体" w:eastAsia="楷体"/>
              <w:szCs w:val="24"/>
            </w:rPr>
            <w:t>镍：宏观利多情绪褪去，关注逢高沽空机会</w:t>
          </w:r>
          <w:r>
            <w:rPr>
              <w:bCs/>
            </w:rPr>
            <w:fldChar w:fldCharType="end"/>
          </w:r>
        </w:p>
        <w:p>
          <w:pPr>
            <w:pStyle w:val="74"/>
            <w:tabs>
              <w:tab w:val="right" w:leader="dot" w:pos="8306"/>
            </w:tabs>
          </w:pPr>
          <w:r>
            <w:rPr>
              <w:bCs/>
            </w:rPr>
            <w:fldChar w:fldCharType="begin"/>
          </w:r>
          <w:r>
            <w:rPr>
              <w:bCs/>
            </w:rPr>
            <w:instrText xml:space="preserve"> HYPERLINK \l _Toc13865 </w:instrText>
          </w:r>
          <w:r>
            <w:rPr>
              <w:bCs/>
            </w:rPr>
            <w:fldChar w:fldCharType="separate"/>
          </w:r>
          <w:r>
            <w:rPr>
              <w:rFonts w:hint="eastAsia" w:ascii="楷体" w:hAnsi="楷体" w:eastAsia="楷体"/>
              <w:szCs w:val="24"/>
            </w:rPr>
            <w:t>不锈钢：低利润弱需求，上下空间皆有限</w:t>
          </w:r>
          <w:r>
            <w:rPr>
              <w:bCs/>
            </w:rPr>
            <w:fldChar w:fldCharType="end"/>
          </w:r>
        </w:p>
        <w:p>
          <w:pPr>
            <w:pStyle w:val="74"/>
            <w:tabs>
              <w:tab w:val="right" w:leader="dot" w:pos="8306"/>
            </w:tabs>
          </w:pPr>
          <w:r>
            <w:rPr>
              <w:bCs/>
            </w:rPr>
            <w:fldChar w:fldCharType="begin"/>
          </w:r>
          <w:r>
            <w:rPr>
              <w:bCs/>
            </w:rPr>
            <w:instrText xml:space="preserve"> HYPERLINK \l _Toc18827 </w:instrText>
          </w:r>
          <w:r>
            <w:rPr>
              <w:bCs/>
            </w:rPr>
            <w:fldChar w:fldCharType="separate"/>
          </w:r>
          <w:r>
            <w:rPr>
              <w:rFonts w:hint="eastAsia" w:ascii="楷体" w:hAnsi="楷体" w:eastAsia="楷体"/>
              <w:szCs w:val="24"/>
            </w:rPr>
            <w:t>工业硅：现货市场疲软，盘面承压下行</w:t>
          </w:r>
          <w:r>
            <w:rPr>
              <w:bCs/>
            </w:rPr>
            <w:fldChar w:fldCharType="end"/>
          </w:r>
        </w:p>
        <w:p>
          <w:pPr>
            <w:pStyle w:val="59"/>
            <w:tabs>
              <w:tab w:val="right" w:leader="dot" w:pos="8306"/>
            </w:tabs>
          </w:pPr>
          <w:r>
            <w:rPr>
              <w:bCs/>
            </w:rPr>
            <w:fldChar w:fldCharType="begin"/>
          </w:r>
          <w:r>
            <w:rPr>
              <w:bCs/>
            </w:rPr>
            <w:instrText xml:space="preserve"> HYPERLINK \l _Toc22327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_Toc23918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天胶有所回落</w:t>
          </w:r>
          <w:r>
            <w:rPr>
              <w:bCs/>
            </w:rPr>
            <w:fldChar w:fldCharType="end"/>
          </w:r>
        </w:p>
        <w:p>
          <w:pPr>
            <w:pStyle w:val="74"/>
            <w:tabs>
              <w:tab w:val="right" w:leader="dot" w:pos="8306"/>
            </w:tabs>
          </w:pPr>
          <w:r>
            <w:rPr>
              <w:bCs/>
            </w:rPr>
            <w:fldChar w:fldCharType="begin"/>
          </w:r>
          <w:r>
            <w:rPr>
              <w:bCs/>
            </w:rPr>
            <w:instrText xml:space="preserve"> HYPERLINK \l _Toc26890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_Toc10146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受房地产数据表现不佳打压，期货价格连续下挫</w:t>
          </w:r>
          <w:r>
            <w:rPr>
              <w:bCs/>
            </w:rPr>
            <w:fldChar w:fldCharType="end"/>
          </w:r>
        </w:p>
        <w:p>
          <w:pPr>
            <w:pStyle w:val="74"/>
            <w:tabs>
              <w:tab w:val="right" w:leader="dot" w:pos="8306"/>
            </w:tabs>
          </w:pPr>
          <w:r>
            <w:rPr>
              <w:bCs/>
            </w:rPr>
            <w:fldChar w:fldCharType="begin"/>
          </w:r>
          <w:r>
            <w:rPr>
              <w:bCs/>
            </w:rPr>
            <w:instrText xml:space="preserve"> HYPERLINK \l _Toc21252 </w:instrText>
          </w:r>
          <w:r>
            <w:rPr>
              <w:bCs/>
            </w:rPr>
            <w:fldChar w:fldCharType="separate"/>
          </w:r>
          <w:r>
            <w:rPr>
              <w:rFonts w:hint="eastAsia" w:ascii="Times New Roman" w:hAnsi="Times New Roman" w:eastAsia="楷体"/>
              <w:szCs w:val="24"/>
            </w:rPr>
            <w:t>纯碱：供应偏松空头情绪浓厚，期货或继续偏弱</w:t>
          </w:r>
          <w:r>
            <w:rPr>
              <w:bCs/>
            </w:rPr>
            <w:fldChar w:fldCharType="end"/>
          </w:r>
        </w:p>
        <w:p>
          <w:pPr>
            <w:pStyle w:val="59"/>
            <w:tabs>
              <w:tab w:val="right" w:leader="dot" w:pos="8306"/>
            </w:tabs>
          </w:pPr>
          <w:r>
            <w:rPr>
              <w:bCs/>
            </w:rPr>
            <w:fldChar w:fldCharType="begin"/>
          </w:r>
          <w:r>
            <w:rPr>
              <w:bCs/>
            </w:rPr>
            <w:instrText xml:space="preserve"> HYPERLINK \l _Toc14604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_Toc13662 </w:instrText>
          </w:r>
          <w:r>
            <w:rPr>
              <w:bCs/>
            </w:rPr>
            <w:fldChar w:fldCharType="separate"/>
          </w:r>
          <w:r>
            <w:rPr>
              <w:rFonts w:hint="eastAsia" w:ascii="楷体" w:hAnsi="楷体" w:eastAsia="楷体"/>
              <w:bCs/>
            </w:rPr>
            <w:t>玉米与淀粉：</w:t>
          </w:r>
          <w:r>
            <w:rPr>
              <w:rFonts w:hint="eastAsia" w:ascii="楷体" w:hAnsi="楷体" w:eastAsia="楷体"/>
            </w:rPr>
            <w:t>期价夜盘低位反弹</w:t>
          </w:r>
          <w:r>
            <w:rPr>
              <w:bCs/>
            </w:rPr>
            <w:fldChar w:fldCharType="end"/>
          </w:r>
        </w:p>
        <w:p>
          <w:pPr>
            <w:pStyle w:val="74"/>
            <w:tabs>
              <w:tab w:val="right" w:leader="dot" w:pos="8306"/>
            </w:tabs>
          </w:pPr>
          <w:r>
            <w:rPr>
              <w:bCs/>
            </w:rPr>
            <w:fldChar w:fldCharType="begin"/>
          </w:r>
          <w:r>
            <w:rPr>
              <w:bCs/>
            </w:rPr>
            <w:instrText xml:space="preserve"> HYPERLINK \l _Toc16476 </w:instrText>
          </w:r>
          <w:r>
            <w:rPr>
              <w:bCs/>
            </w:rPr>
            <w:fldChar w:fldCharType="separate"/>
          </w:r>
          <w:r>
            <w:rPr>
              <w:rFonts w:hint="eastAsia" w:ascii="楷体" w:hAnsi="楷体" w:eastAsia="楷体"/>
              <w:bCs/>
            </w:rPr>
            <w:t>畜禽养殖：生猪现货带动期价继续弱势</w:t>
          </w:r>
          <w:r>
            <w:rPr>
              <w:bCs/>
            </w:rPr>
            <w:fldChar w:fldCharType="end"/>
          </w:r>
        </w:p>
        <w:p>
          <w:pPr>
            <w:pStyle w:val="74"/>
            <w:tabs>
              <w:tab w:val="right" w:leader="dot" w:pos="8306"/>
            </w:tabs>
          </w:pPr>
          <w:r>
            <w:rPr>
              <w:bCs/>
            </w:rPr>
            <w:fldChar w:fldCharType="begin"/>
          </w:r>
          <w:r>
            <w:rPr>
              <w:bCs/>
            </w:rPr>
            <w:instrText xml:space="preserve"> HYPERLINK \l _Toc15860 </w:instrText>
          </w:r>
          <w:r>
            <w:rPr>
              <w:bCs/>
            </w:rPr>
            <w:fldChar w:fldCharType="separate"/>
          </w:r>
          <w:r>
            <w:rPr>
              <w:rFonts w:hint="eastAsia" w:ascii="楷体" w:hAnsi="楷体" w:eastAsia="楷体"/>
              <w:bCs/>
            </w:rPr>
            <w:t>白糖：期价重新由供需格局主导，偏弱运行</w:t>
          </w:r>
          <w:r>
            <w:rPr>
              <w:bCs/>
            </w:rPr>
            <w:fldChar w:fldCharType="end"/>
          </w:r>
        </w:p>
        <w:p>
          <w:pPr>
            <w:pStyle w:val="74"/>
            <w:tabs>
              <w:tab w:val="right" w:leader="dot" w:pos="8306"/>
            </w:tabs>
          </w:pPr>
          <w:r>
            <w:rPr>
              <w:bCs/>
            </w:rPr>
            <w:fldChar w:fldCharType="begin"/>
          </w:r>
          <w:r>
            <w:rPr>
              <w:bCs/>
            </w:rPr>
            <w:instrText xml:space="preserve"> HYPERLINK \l _Toc20007 </w:instrText>
          </w:r>
          <w:r>
            <w:rPr>
              <w:bCs/>
            </w:rPr>
            <w:fldChar w:fldCharType="separate"/>
          </w:r>
          <w:r>
            <w:rPr>
              <w:rFonts w:hint="eastAsia" w:ascii="楷体" w:hAnsi="楷体" w:eastAsia="楷体"/>
              <w:bCs/>
            </w:rPr>
            <w:t>棉花：优良率下修助棉价低位反弹，长期期价仍旧承压</w:t>
          </w:r>
          <w:r>
            <w:rPr>
              <w:bCs/>
            </w:rPr>
            <w:fldChar w:fldCharType="end"/>
          </w:r>
        </w:p>
        <w:p>
          <w:pPr>
            <w:pStyle w:val="59"/>
            <w:tabs>
              <w:tab w:val="right" w:leader="dot" w:pos="8306"/>
            </w:tabs>
          </w:pPr>
          <w:r>
            <w:rPr>
              <w:bCs/>
            </w:rPr>
            <w:fldChar w:fldCharType="begin"/>
          </w:r>
          <w:r>
            <w:rPr>
              <w:bCs/>
            </w:rPr>
            <w:instrText xml:space="preserve"> HYPERLINK \l _Toc5258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_Toc26266 </w:instrText>
          </w:r>
          <w:r>
            <w:rPr>
              <w:bCs/>
            </w:rPr>
            <w:fldChar w:fldCharType="separate"/>
          </w:r>
          <w:r>
            <w:rPr>
              <w:rFonts w:hint="eastAsia" w:ascii="Times New Roman" w:hAnsi="Times New Roman" w:eastAsia="楷体"/>
              <w:szCs w:val="24"/>
            </w:rPr>
            <w:t>集运指数（欧线）：短期供应偏紧叠加航司提价，EC主力合约续创新高</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840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891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待企稳后关注IF低多机会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关注今日陆家嘴论坛召开，大概率将围绕资本市场基础建设进行开展。大盘指数在7月三中全会中长期经济改革利好的预期牵引之下市场并没有大幅回调风险，依然是结构轮动为主。短线科技成长板块在政策利好下有一定机会，强监管周期下，市场风格中期预计重返大盘股，大盘短期处于震荡区间下沿，可考虑低位布局IF多单。</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714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7798"/>
      <w:r>
        <w:rPr>
          <w:rFonts w:hint="eastAsia" w:ascii="Times New Roman" w:hAnsi="Times New Roman" w:eastAsia="楷体"/>
          <w:b/>
          <w:color w:val="000000" w:themeColor="text1"/>
          <w:sz w:val="24"/>
          <w:szCs w:val="24"/>
          <w14:textFill>
            <w14:solidFill>
              <w14:schemeClr w14:val="tx1"/>
            </w14:solidFill>
          </w14:textFill>
        </w:rPr>
        <w:t>贵金属：美国零售销售环比低于预期，贵金属价格小幅上涨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0.45%至552.66元/克，沪银涨0.55%至7801元/千克。美国5月零售销售环比增0.1%，低于预期的增0.3%，反映美国消费端表现放缓，前值自持平修正至降0.2%；核心零售销售环比降0.1%，预期升0.2%，前值自升0.2%修正至降0.1%。美联储理事库格勒表示，今年晚些时候降息可能是合适的，通胀向好，经济形势正朝着正确的方向发展。圣路易斯联储主席穆萨莱姆表示，美联储降息条件需几个月甚至几个季度才能形成。后续持续跟踪美国通胀及经济表现，中长期角度而言，美元指数及美债收益率或偏弱震荡，利率下行的环境中贵金属作为零息资产的配置价值上升，建议贵金属中长期维持偏多思路，回调至均线支撑附近可轻仓试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634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8730"/>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碳酸锂：智利5月碳酸锂出口同比维持增长，期价进一步下跌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大幅下跌，07合约收跌3.63%至92800元/吨，07合约持仓减少5812手至11.52万手，注册仓单减少150手至28070手。南美碳酸锂进口持续对供应形成补充，5月智利碳酸锂出口至国内约18040吨，同比增37.66%，环比减21.22%，历史数据显示，二季度出口环比回落为季节性规律，同比仍有较大增幅。近期主力合约移仓换月，根据广期所碳酸锂期货合约持仓限制要求，LC2407合约交割月前1个月第15个交易日（下周一6月24日起）至交割月份之前，限仓为1000手，敬请留意持仓情况。周度开工率略微下跌，维持供强需弱格局，上下游均维持累库，月末仓单注销后部分老仓单货源或流入现货市场，对供应形成增量，留意下方9万元/吨整数关口支撑，期价短期内或偏弱震荡。</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5180"/>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铝价低位区间震荡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议息维持高利率，联储官员表示通胀压力减轻但依然偏高，年内降息乐观预期修正，美国5月CPI数据低于预期，宏观情绪支撑走弱。外运铝土矿受天气影响有发运困难预期，国内铝土矿缓慢复产但进度不急预期，铝土矿短期偏紧格局难以扭转，电解铝中游冶炼产能高产且有新增投产复产，下游加工企业开工率进入淡季表现趋弱，淡季库存理应进入累库阶段但仍保持小幅去库节奏，海外未锻造铝材出口需求旺盛。铝价下方空间有限，供应虽有走增，需求仍有乐观预期，短期内维持区间震荡为主，观望淡季供需变化情况。</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5140"/>
      <w:r>
        <w:rPr>
          <w:rFonts w:hint="eastAsia" w:ascii="楷体" w:hAnsi="楷体" w:eastAsia="楷体"/>
          <w:b/>
          <w:color w:val="000000" w:themeColor="text1"/>
          <w:sz w:val="24"/>
          <w:szCs w:val="24"/>
          <w14:textFill>
            <w14:solidFill>
              <w14:schemeClr w14:val="tx1"/>
            </w14:solidFill>
          </w14:textFill>
        </w:rPr>
        <w:t>锌：锌价回调盘整建议观望为主</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围绕联储降息预期波动，近期价格回归基本面引导，矿端供应持续吃紧，进口TC及国内TC同步下滑，平均冶炼利润下降，冶炼企业投产积极性受挫，精炼锌产量下降但仍位于历史同期供应高位，下游需求旺季表现不旺，进入淡季消费无明显下降，镀锌开工周度环比上升，库存高位去库。矿端成本高企支撑锌价，冶炼利润下降拖累加工企业生产积极性，精炼锌产量下行反映加工企业悲观情绪，近期锌价快速下行带动下游采买情绪，库存高位去库，传统基建、地产板块有国家利多政策扶植支持，消费淡季或有不淡表现，短期锌价回调盘整，参考震荡区间23000-24500，建议观望震荡区间下方支撑情况。</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546"/>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：维持震荡承压运行，下方空间或不大</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(1)宏观：美国商务部公布数据显示美国5月份零售销售额环比增长0.1%，低于市场预期的0.3%，前值则由0%下修至-0.2%。</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(2)库存：6月18日，SHFE仓单库存262046吨，减3048吨；LME仓单库存155850吨，增19175吨。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(3)精废价差：6月18日，Mysteel精废价差1494，扩张112。目前价差在合理价差1485之上。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5月零售几乎没有增长，美联储降息预期有所强化，美元指数走弱提振短期铜价，但中期而言如果经济持续走弱引发衰退交易或对价格不利。基本面，LME昨日大增近2万吨，主要集中亚洲仓库，大概率为区域间的转移，价格回调后下游逢低刚需采购，整体需求有一定体现但依旧疲弱，现货重回贴水结构，短期价格维持震荡承压运行，下方空间或不大。</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5514"/>
      <w:r>
        <w:rPr>
          <w:rFonts w:hint="eastAsia" w:ascii="楷体" w:hAnsi="楷体" w:eastAsia="楷体"/>
          <w:b/>
          <w:color w:val="000000" w:themeColor="text1"/>
          <w:sz w:val="24"/>
          <w:szCs w:val="24"/>
          <w14:textFill>
            <w14:solidFill>
              <w14:schemeClr w14:val="tx1"/>
            </w14:solidFill>
          </w14:textFill>
        </w:rPr>
        <w:t>镍：宏观利多情绪褪去，关注逢高沽空机会</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随着美联储降息预期回落和全球经济数据走弱，前期宏观过热情绪消退，市场交易逻辑逐步回归基本面。原料端，印尼镍矿审批加快；钢厂对镍铁高价采购情绪减弱，镍铁价格承压运行；中间品偏紧情况暂未明显好转，价格随镍价下跌而有所下调；硫酸镍供需两弱，成本下降，因此价格呈弱势运行。供需方面，全球镍市过剩格局有所收窄，但国内精炼镍产能持续释放，终端三元材料领域对镍需求疲软，不锈钢终端需求亦不见起色。库存方面，镍价下跌促进下游逢低采购，上周国内库存去化。综合而言，印尼镍矿KRAB审批加快，镍成本支撑减弱，国内过剩压力持续，预计短期镍价偏弱震荡，操作上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3865"/>
      <w:r>
        <w:rPr>
          <w:rFonts w:hint="eastAsia" w:ascii="楷体" w:hAnsi="楷体" w:eastAsia="楷体"/>
          <w:b/>
          <w:color w:val="000000" w:themeColor="text1"/>
          <w:sz w:val="24"/>
          <w:szCs w:val="24"/>
          <w14:textFill>
            <w14:solidFill>
              <w14:schemeClr w14:val="tx1"/>
            </w14:solidFill>
          </w14:textFill>
        </w:rPr>
        <w:t>不锈钢：低利润弱需求，上下空间皆有限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目前印尼镍矿现实供应仍偏紧，但印尼镍矿RKAB审批加快，矿紧预期大幅缓解。镍铁方面，不锈钢需求偏弱向上游传导，钢厂对镍铁高价采购情绪减弱，镍铁价格小幅下调。供需方面，不锈钢排产处于高位水平，然而下游成交氛围冷清，社会库存累库幅度增大，仓单库存已超19万吨，反映供应压力加大。综合而言，一方面，不锈钢成本支撑减弱，下游需求未有起色，仓单库存历史高位，对价格带来压制；另一方面，目前不锈钢厂生产利润下降至成本边际，价格下行动能也有限，预计价格或窄幅震荡偏弱，关注镍铁价格及不锈钢厂排产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882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现货市场疲软，盘面承压下行</w:t>
      </w:r>
      <w:bookmarkEnd w:id="25"/>
    </w:p>
    <w:p>
      <w:pPr>
        <w:ind w:left="630" w:leftChars="300"/>
        <w:rPr>
          <w:rFonts w:ascii="楷体" w:hAnsi="楷体" w:eastAsia="楷体"/>
          <w:sz w:val="24"/>
          <w:szCs w:val="24"/>
        </w:rPr>
      </w:pPr>
      <w:r>
        <w:rPr>
          <w:rFonts w:hint="eastAsia" w:ascii="楷体" w:hAnsi="楷体" w:eastAsia="楷体"/>
          <w:sz w:val="24"/>
          <w:szCs w:val="24"/>
        </w:rPr>
        <w:t>6月18日，Si2409主力合约呈下行走势，收盘价11935元/吨，较上一收盘价涨跌幅-1.81%。近日，受下游需求疲软影响，现货价格再度下调，使得盘面承压下行。从基本面来看，西南复产持续推进，据SMM调研了解，四川工厂已基本完成复产，而云南复产进度相对较难，后续复产确定性较强，反观下游需求暂无明显改善迹象。整体来看，基本面延续宽松格局，但由于此前较多工厂已锁定部分丰水期产量利润，当前工厂暂无明显库存压力，短期盘面或震荡运行，参考区间（11800，12500）。策略上，可尝试波段操作。</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2327"/>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391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天胶有所回落</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近期泰国主产区天气仍有扰动，导致新胶产出量较少，泰国宋卡地区原料价格止跌回升，给予盘面较强底部支撑。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表现坚挺，仍处于偏强水平，对胶价存底部支撑明显。但节后归来橡胶因短线涨幅过大、合成橡胶向上乏力以及全钢胎大范围检修而冲高回落。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6890"/>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0146"/>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受房地产数据表现不佳打压，期货价格连续下挫</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昨夜盘收盘价为1587元/吨，出现小幅反弹，但仍未修复昨日跌幅。现货方面，浮法玻璃河北沙河大板现货轻微下跌4元/吨至1516元/吨，保持疲弱。库存方面，玻璃在产企业总库存为5813.65万重量箱，环比上周上升8.35万重量箱。现货端，华北产销较好、华中地区受雨季影响日度产销回落，各地区开始降价销售。宏观方面，5月17日房地产利好政策有利情绪支撑。但6月17日，根据国家统计局公布2024年5月份各线城市商品住宅销售价格月率下降、年率降幅略有扩大。其中，北京、广州和深圳分别下降1.1%、1.4% 和0.8%，上海上涨0.6%，终端需求再受打击。</w:t>
      </w:r>
    </w:p>
    <w:p>
      <w:pPr>
        <w:ind w:left="630" w:leftChars="300"/>
        <w:rPr>
          <w:rFonts w:hint="eastAsia" w:ascii="楷体" w:hAnsi="楷体" w:eastAsia="楷体"/>
          <w:sz w:val="24"/>
          <w:szCs w:val="24"/>
        </w:rPr>
      </w:pPr>
      <w:r>
        <w:rPr>
          <w:rFonts w:hint="eastAsia" w:ascii="楷体" w:hAnsi="楷体" w:eastAsia="楷体"/>
          <w:sz w:val="24"/>
          <w:szCs w:val="24"/>
        </w:rPr>
        <w:t>总体来看，但6月市场情绪回落，叠加地产数据打压期货盘面，前期政策利多因素消化后玻璃期货转为交易现实。目前盘面处于升水状态，基差存在一定修复动力，短期内预计期价弱震荡建议观望。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21252"/>
      <w:r>
        <w:rPr>
          <w:rFonts w:hint="eastAsia" w:ascii="Times New Roman" w:hAnsi="Times New Roman" w:eastAsia="楷体"/>
          <w:b/>
          <w:color w:val="000000" w:themeColor="text1"/>
          <w:sz w:val="24"/>
          <w:szCs w:val="24"/>
          <w14:textFill>
            <w14:solidFill>
              <w14:schemeClr w14:val="tx1"/>
            </w14:solidFill>
          </w14:textFill>
        </w:rPr>
        <w:t>纯碱：供应偏松空头情绪浓厚，期货或继续偏弱</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夜盘纯碱主力合约收盘2071元/吨，继续走弱。现货来看，今日国内价格有调降迹象，截至目前，华北重碱、华中轻碱价格保持偏弱；随着前期检修企业恢复生产，纯碱供应将有所增加；下游需求仍维持稳定。</w:t>
      </w:r>
    </w:p>
    <w:p>
      <w:pPr>
        <w:ind w:left="630" w:leftChars="300"/>
        <w:rPr>
          <w:rFonts w:hint="eastAsia" w:ascii="楷体" w:hAnsi="楷体" w:eastAsia="楷体"/>
          <w:sz w:val="24"/>
          <w:szCs w:val="24"/>
        </w:rPr>
      </w:pPr>
      <w:r>
        <w:rPr>
          <w:rFonts w:hint="eastAsia" w:ascii="楷体" w:hAnsi="楷体" w:eastAsia="楷体"/>
          <w:sz w:val="24"/>
          <w:szCs w:val="24"/>
        </w:rPr>
        <w:t>基本面，本周纯碱行业开工约86.28%，环比上升8.3%。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目前，市场成交有所增加，空头增仓明显加速下跌，短期预计纯碱现货价格偏弱，后市仍需主要关注供应端变动情况。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14604"/>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1366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期价夜盘低位反弹</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依然担心东北产区玉米高价往下游传导的问题，因玉米产销区价差与华北-东北玉米价差持续处于历史同期低位，当前市场担忧主要集中在陈化水稻投放和新作小麦上市两个层面，在我们看来，陈稻层面国家没有动力/意愿降价抛储，那么在当前期现货水平下陈稻即使抛储亦不能带来实质供应；而新作小麦层面则一方面产量不及预期，另一方面国家启动增储收购，这有望使得小麦饲用替代量受限，因此，我们倾向于认为国内玉米存在产需缺口。当然，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考虑到淀粉副产品受蛋白粕带动相对弱势，而盘面生产利润均处于亏损状态，这有望抑制淀粉-玉米价差收窄的空间。后期价差能否走扩则需要重点留意国家增储背景下的华北-东北玉米价差走势，因其将抬高华北淀粉生产成本，一方面直接带动淀粉交割成本，另一方面间接带动中下游阶段性补库，从而带动行业供需改善。综上所述，我们维持谨慎看多观点，建议前期多单可以考虑继续持有，同时可以考虑做扩淀粉-玉米价差。</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16476"/>
      <w:r>
        <w:rPr>
          <w:rFonts w:hint="eastAsia" w:ascii="楷体" w:hAnsi="楷体" w:eastAsia="楷体"/>
          <w:b/>
          <w:bCs/>
          <w:color w:val="000000" w:themeColor="text1"/>
          <w14:textFill>
            <w14:solidFill>
              <w14:schemeClr w14:val="tx1"/>
            </w14:solidFill>
          </w14:textFill>
        </w:rPr>
        <w:t>畜禽养殖：生猪现货带动期价继续弱势</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在这种情况下，考虑到目前期价均贴水现货，接下来需要特别留意现货走势，因市场将据此判断生猪市场供需预期。在我们看来，如接下来养殖户出栏加快，带动出栏均重和宰后均重下滑，反而有利于下半年猪价上涨。据此我们中期谨慎看多，短期暂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五月中以来的鸡蛋现货超预期上涨可能带来市场对供需预期的分歧，除去需求端增量即南方持续降雨带来蔬菜缺口继而催生鸡蛋阶段性补库之外，还可能表明供应端亦不及市场之前预期，因多家机构数据均显示去年底以来蛋鸡淘汰量同比大幅增加。接下来需要重点关注两个方面，其一是饲料原料端即豆粕和玉米走势，因饲料在鸡蛋养殖成本中占比较大；其二是现货走势，因目前基差继续处于历史同期高位，如果现货在接下来的淡季表现抗跌，则可能带来市场对供需预期的变化。综上所述，我们暂维持中性观点，建议投资者观望为宜，可考虑轻仓择机入场做多旺季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15860"/>
      <w:r>
        <w:rPr>
          <w:rFonts w:hint="eastAsia" w:ascii="楷体" w:hAnsi="楷体" w:eastAsia="楷体"/>
          <w:b/>
          <w:bCs/>
          <w:color w:val="000000" w:themeColor="text1"/>
          <w14:textFill>
            <w14:solidFill>
              <w14:schemeClr w14:val="tx1"/>
            </w14:solidFill>
          </w14:textFill>
        </w:rPr>
        <w:t>白糖：期价重新由供需格局主导，偏弱运行</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原糖主力合约下跌0.52%，伦敦白砂糖主力合约下跌0.46%。由于天气炒作动力不足，期价重新由供需格局主导运行。贸易商Czarnikow发布预测，24/25全球糖市或供应过剩550万吨，预计下一年全球糖产量达1.865亿吨，尽管较之前预估减少90万吨，但依旧为历史第二高位。而消费量较之前下调100万吨，下调幅度大于产量，本榨季或仍旧维持供强需弱的局面。国内昨日夜盘白糖主力合约下跌0.81%。目前国内糖料生长良好，天气炒作空间不大，期价跟随外盘变动。但北半球即将迎来消费旺季，需求增加或对糖价有支撑，短期期价或震荡运行，暂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20007"/>
      <w:r>
        <w:rPr>
          <w:rFonts w:hint="eastAsia" w:ascii="楷体" w:hAnsi="楷体" w:eastAsia="楷体"/>
          <w:b/>
          <w:bCs/>
          <w:color w:val="000000" w:themeColor="text1"/>
          <w14:textFill>
            <w14:solidFill>
              <w14:schemeClr w14:val="tx1"/>
            </w14:solidFill>
          </w14:textFill>
        </w:rPr>
        <w:t>棉花：优良率下修助棉价低位反弹，长期期价仍旧承压</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棉上涨1.32%。美国部分种植带遭遇干旱天气，新季作物因高温受到压力和负面影响。根据USDA公布数据，截止6月16日当周，棉花优良率为54%，较一周前下调2%。优良率下调促使美棉低位反弹。但优良率仍高于去年同期，预计新年度供应仍宽松，期价长线承压。国内昨日夜盘棉花和棉纱主力合约分别上涨0.41%和0.27%。目前国内供需格局没有变化，需求依旧疲弱，期价主要跟随外盘变动。</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5258"/>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6266"/>
      <w:r>
        <w:rPr>
          <w:rFonts w:hint="eastAsia" w:ascii="Times New Roman" w:hAnsi="Times New Roman" w:eastAsia="楷体"/>
          <w:b/>
          <w:color w:val="000000" w:themeColor="text1"/>
          <w:sz w:val="24"/>
          <w:szCs w:val="24"/>
          <w14:textFill>
            <w14:solidFill>
              <w14:schemeClr w14:val="tx1"/>
            </w14:solidFill>
          </w14:textFill>
        </w:rPr>
        <w:t>集运指数（欧线）：短期供应偏紧叠加航司提价，EC主力合约续创新高</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6月17日盘后公布，SCFIS欧线最新为4688.53点，环比上涨10.84%，实际结算运价有所支撑。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马士基打响7月份涨价第一炮，马士基最新公布7月1日开始实施的的欧线运价上涨了15~20%，小柜5000美元，大柜9000美元。</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应端来看，随着旺季出货需求提升，三大联盟在欧线新增了合计周均运力1.8万TEU，相当于当前欧线运力的6%，以满足需求并提高收益。尽管船司面临船舶无法按时返回上海港导致的被动空班情况，但运费仍将维持高位，而港口拥堵虽有发生但未形成连锁反应。</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地缘方面，地缘冲突变化继续影响远月合约波动。尽管6月初联合国安理会通过加沙地带停火决议，潜在地缘缓和促使部分多头资金止盈离场，但远月合约因流动性限制波动幅度较大，红海胡塞武装不断攻击集装箱船等消息经常性扰动远月合约。</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周末由于现货价格落地超预期，EC近月合约继续创新高，短期EC价格高位波动，建议短期内低多为主。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72481108"/>
      <w:bookmarkStart w:id="41" w:name="_Toc98426751"/>
      <w:bookmarkStart w:id="42" w:name="_Toc12779"/>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2024年6月19日星期三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8D7317F"/>
    <w:rsid w:val="49BF13F0"/>
    <w:rsid w:val="49D75468"/>
    <w:rsid w:val="49E169F0"/>
    <w:rsid w:val="4A4A74EF"/>
    <w:rsid w:val="4A6F6249"/>
    <w:rsid w:val="4AB74C38"/>
    <w:rsid w:val="4B14426D"/>
    <w:rsid w:val="4B6224E5"/>
    <w:rsid w:val="4B8C4A56"/>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2024-06-19T01:28:29Z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