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44" w:name="_GoBack"/>
      <w:bookmarkStart w:id="0" w:name="_top"/>
      <w:bookmarkEnd w:id="0"/>
      <w:r>
        <w:rPr>
          <w:rFonts w:ascii="Times New Roman" w:hAnsi="Times New Roman" w:eastAsia="楷体" w:cs="Times New Roman"/>
          <w:b/>
          <w:color w:val="823C0B"/>
          <w:sz w:val="32"/>
          <w:szCs w:val="32"/>
        </w:rPr>
        <w:t>广州期货早间直通车</w:t>
      </w:r>
    </w:p>
    <w:bookmarkEnd w:id="44"/>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_Toc31264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_Toc9247 </w:instrText>
          </w:r>
          <w:r>
            <w:rPr>
              <w:bCs/>
            </w:rPr>
            <w:fldChar w:fldCharType="separate"/>
          </w:r>
          <w:r>
            <w:rPr>
              <w:rFonts w:hint="eastAsia" w:ascii="Times New Roman" w:hAnsi="Times New Roman" w:eastAsia="楷体"/>
              <w:szCs w:val="24"/>
            </w:rPr>
            <w:t>股指：待企稳后关注IF低多机会</w:t>
          </w:r>
          <w:r>
            <w:rPr>
              <w:bCs/>
            </w:rPr>
            <w:fldChar w:fldCharType="end"/>
          </w:r>
        </w:p>
        <w:p>
          <w:pPr>
            <w:pStyle w:val="59"/>
            <w:tabs>
              <w:tab w:val="right" w:leader="dot" w:pos="8306"/>
            </w:tabs>
          </w:pPr>
          <w:r>
            <w:rPr>
              <w:bCs/>
            </w:rPr>
            <w:fldChar w:fldCharType="begin"/>
          </w:r>
          <w:r>
            <w:rPr>
              <w:bCs/>
            </w:rPr>
            <w:instrText xml:space="preserve"> HYPERLINK \l _Toc22733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_Toc5751 </w:instrText>
          </w:r>
          <w:r>
            <w:rPr>
              <w:bCs/>
            </w:rPr>
            <w:fldChar w:fldCharType="separate"/>
          </w:r>
          <w:r>
            <w:rPr>
              <w:rFonts w:hint="eastAsia" w:ascii="Times New Roman" w:hAnsi="Times New Roman" w:eastAsia="楷体"/>
              <w:szCs w:val="24"/>
            </w:rPr>
            <w:t>贵金属：美国消费者信心指数下滑，贵金属价格小幅回升</w:t>
          </w:r>
          <w:r>
            <w:rPr>
              <w:bCs/>
            </w:rPr>
            <w:fldChar w:fldCharType="end"/>
          </w:r>
        </w:p>
        <w:p>
          <w:pPr>
            <w:pStyle w:val="59"/>
            <w:tabs>
              <w:tab w:val="right" w:leader="dot" w:pos="8306"/>
            </w:tabs>
          </w:pPr>
          <w:r>
            <w:rPr>
              <w:bCs/>
            </w:rPr>
            <w:fldChar w:fldCharType="begin"/>
          </w:r>
          <w:r>
            <w:rPr>
              <w:bCs/>
            </w:rPr>
            <w:instrText xml:space="preserve"> HYPERLINK \l _Toc12107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_Toc136 </w:instrText>
          </w:r>
          <w:r>
            <w:rPr>
              <w:bCs/>
            </w:rPr>
            <w:fldChar w:fldCharType="separate"/>
          </w:r>
          <w:r>
            <w:rPr>
              <w:rFonts w:hint="eastAsia" w:ascii="楷体" w:hAnsi="楷体" w:eastAsia="楷体"/>
              <w:szCs w:val="24"/>
            </w:rPr>
            <w:t>碳酸锂：周度产量略微下降，期价小幅下跌</w:t>
          </w:r>
          <w:r>
            <w:rPr>
              <w:bCs/>
            </w:rPr>
            <w:fldChar w:fldCharType="end"/>
          </w:r>
        </w:p>
        <w:p>
          <w:pPr>
            <w:pStyle w:val="74"/>
            <w:tabs>
              <w:tab w:val="right" w:leader="dot" w:pos="8306"/>
            </w:tabs>
          </w:pPr>
          <w:r>
            <w:rPr>
              <w:bCs/>
            </w:rPr>
            <w:fldChar w:fldCharType="begin"/>
          </w:r>
          <w:r>
            <w:rPr>
              <w:bCs/>
            </w:rPr>
            <w:instrText xml:space="preserve"> HYPERLINK \l _Toc17942 </w:instrText>
          </w:r>
          <w:r>
            <w:rPr>
              <w:bCs/>
            </w:rPr>
            <w:fldChar w:fldCharType="separate"/>
          </w:r>
          <w:r>
            <w:rPr>
              <w:rFonts w:hint="eastAsia" w:ascii="楷体" w:hAnsi="楷体" w:eastAsia="楷体"/>
              <w:szCs w:val="24"/>
            </w:rPr>
            <w:t>铝：铝价低位盘整，下方空间相对有限</w:t>
          </w:r>
          <w:r>
            <w:rPr>
              <w:bCs/>
            </w:rPr>
            <w:fldChar w:fldCharType="end"/>
          </w:r>
        </w:p>
        <w:p>
          <w:pPr>
            <w:pStyle w:val="74"/>
            <w:tabs>
              <w:tab w:val="right" w:leader="dot" w:pos="8306"/>
            </w:tabs>
          </w:pPr>
          <w:r>
            <w:rPr>
              <w:bCs/>
            </w:rPr>
            <w:fldChar w:fldCharType="begin"/>
          </w:r>
          <w:r>
            <w:rPr>
              <w:bCs/>
            </w:rPr>
            <w:instrText xml:space="preserve"> HYPERLINK \l _Toc25673 </w:instrText>
          </w:r>
          <w:r>
            <w:rPr>
              <w:bCs/>
            </w:rPr>
            <w:fldChar w:fldCharType="separate"/>
          </w:r>
          <w:r>
            <w:rPr>
              <w:rFonts w:hint="eastAsia" w:ascii="楷体" w:hAnsi="楷体" w:eastAsia="楷体"/>
              <w:szCs w:val="24"/>
            </w:rPr>
            <w:t>锌：锌价回调盘整震荡</w:t>
          </w:r>
          <w:r>
            <w:rPr>
              <w:bCs/>
            </w:rPr>
            <w:fldChar w:fldCharType="end"/>
          </w:r>
        </w:p>
        <w:p>
          <w:pPr>
            <w:pStyle w:val="74"/>
            <w:tabs>
              <w:tab w:val="right" w:leader="dot" w:pos="8306"/>
            </w:tabs>
          </w:pPr>
          <w:r>
            <w:rPr>
              <w:bCs/>
            </w:rPr>
            <w:fldChar w:fldCharType="begin"/>
          </w:r>
          <w:r>
            <w:rPr>
              <w:bCs/>
            </w:rPr>
            <w:instrText xml:space="preserve"> HYPERLINK \l _Toc11532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：短期偏震荡为主</w:t>
          </w:r>
          <w:r>
            <w:rPr>
              <w:bCs/>
            </w:rPr>
            <w:fldChar w:fldCharType="end"/>
          </w:r>
        </w:p>
        <w:p>
          <w:pPr>
            <w:pStyle w:val="74"/>
            <w:tabs>
              <w:tab w:val="right" w:leader="dot" w:pos="8306"/>
            </w:tabs>
          </w:pPr>
          <w:r>
            <w:rPr>
              <w:bCs/>
            </w:rPr>
            <w:fldChar w:fldCharType="begin"/>
          </w:r>
          <w:r>
            <w:rPr>
              <w:bCs/>
            </w:rPr>
            <w:instrText xml:space="preserve"> HYPERLINK \l _Toc22745 </w:instrText>
          </w:r>
          <w:r>
            <w:rPr>
              <w:bCs/>
            </w:rPr>
            <w:fldChar w:fldCharType="separate"/>
          </w:r>
          <w:r>
            <w:rPr>
              <w:rFonts w:hint="eastAsia" w:ascii="楷体" w:hAnsi="楷体" w:eastAsia="楷体"/>
              <w:szCs w:val="24"/>
            </w:rPr>
            <w:t>镍：宏观利多情绪褪去，镍价逢高沽空为主</w:t>
          </w:r>
          <w:r>
            <w:rPr>
              <w:bCs/>
            </w:rPr>
            <w:fldChar w:fldCharType="end"/>
          </w:r>
        </w:p>
        <w:p>
          <w:pPr>
            <w:pStyle w:val="74"/>
            <w:tabs>
              <w:tab w:val="right" w:leader="dot" w:pos="8306"/>
            </w:tabs>
          </w:pPr>
          <w:r>
            <w:rPr>
              <w:bCs/>
            </w:rPr>
            <w:fldChar w:fldCharType="begin"/>
          </w:r>
          <w:r>
            <w:rPr>
              <w:bCs/>
            </w:rPr>
            <w:instrText xml:space="preserve"> HYPERLINK \l _Toc12964 </w:instrText>
          </w:r>
          <w:r>
            <w:rPr>
              <w:bCs/>
            </w:rPr>
            <w:fldChar w:fldCharType="separate"/>
          </w:r>
          <w:r>
            <w:rPr>
              <w:rFonts w:hint="eastAsia" w:ascii="楷体" w:hAnsi="楷体" w:eastAsia="楷体"/>
              <w:szCs w:val="24"/>
            </w:rPr>
            <w:t>不锈钢：低利润弱需求，价格或窄幅震荡偏弱</w:t>
          </w:r>
          <w:r>
            <w:rPr>
              <w:bCs/>
            </w:rPr>
            <w:fldChar w:fldCharType="end"/>
          </w:r>
        </w:p>
        <w:p>
          <w:pPr>
            <w:pStyle w:val="74"/>
            <w:tabs>
              <w:tab w:val="right" w:leader="dot" w:pos="8306"/>
            </w:tabs>
          </w:pPr>
          <w:r>
            <w:rPr>
              <w:bCs/>
            </w:rPr>
            <w:fldChar w:fldCharType="begin"/>
          </w:r>
          <w:r>
            <w:rPr>
              <w:bCs/>
            </w:rPr>
            <w:instrText xml:space="preserve"> HYPERLINK \l _Toc32607 </w:instrText>
          </w:r>
          <w:r>
            <w:rPr>
              <w:bCs/>
            </w:rPr>
            <w:fldChar w:fldCharType="separate"/>
          </w:r>
          <w:r>
            <w:rPr>
              <w:rFonts w:hint="eastAsia" w:ascii="楷体" w:hAnsi="楷体" w:eastAsia="楷体"/>
              <w:szCs w:val="24"/>
            </w:rPr>
            <w:t>工业硅：西南维持复产节奏，厂库暂无明显压力</w:t>
          </w:r>
          <w:r>
            <w:rPr>
              <w:bCs/>
            </w:rPr>
            <w:fldChar w:fldCharType="end"/>
          </w:r>
        </w:p>
        <w:p>
          <w:pPr>
            <w:pStyle w:val="59"/>
            <w:tabs>
              <w:tab w:val="right" w:leader="dot" w:pos="8306"/>
            </w:tabs>
          </w:pPr>
          <w:r>
            <w:rPr>
              <w:bCs/>
            </w:rPr>
            <w:fldChar w:fldCharType="begin"/>
          </w:r>
          <w:r>
            <w:rPr>
              <w:bCs/>
            </w:rPr>
            <w:instrText xml:space="preserve"> HYPERLINK \l _Toc30148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_Toc31749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全钢胎表现较弱 天胶有所回落</w:t>
          </w:r>
          <w:r>
            <w:rPr>
              <w:bCs/>
            </w:rPr>
            <w:fldChar w:fldCharType="end"/>
          </w:r>
        </w:p>
        <w:p>
          <w:pPr>
            <w:pStyle w:val="74"/>
            <w:tabs>
              <w:tab w:val="right" w:leader="dot" w:pos="8306"/>
            </w:tabs>
          </w:pPr>
          <w:r>
            <w:rPr>
              <w:bCs/>
            </w:rPr>
            <w:fldChar w:fldCharType="begin"/>
          </w:r>
          <w:r>
            <w:rPr>
              <w:bCs/>
            </w:rPr>
            <w:instrText xml:space="preserve"> HYPERLINK \l _Toc28521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_Toc31608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多头连续两周减仓，关注终端需求</w:t>
          </w:r>
          <w:r>
            <w:rPr>
              <w:bCs/>
            </w:rPr>
            <w:fldChar w:fldCharType="end"/>
          </w:r>
        </w:p>
        <w:p>
          <w:pPr>
            <w:pStyle w:val="74"/>
            <w:tabs>
              <w:tab w:val="right" w:leader="dot" w:pos="8306"/>
            </w:tabs>
          </w:pPr>
          <w:r>
            <w:rPr>
              <w:bCs/>
            </w:rPr>
            <w:fldChar w:fldCharType="begin"/>
          </w:r>
          <w:r>
            <w:rPr>
              <w:bCs/>
            </w:rPr>
            <w:instrText xml:space="preserve"> HYPERLINK \l _Toc31365 </w:instrText>
          </w:r>
          <w:r>
            <w:rPr>
              <w:bCs/>
            </w:rPr>
            <w:fldChar w:fldCharType="separate"/>
          </w:r>
          <w:r>
            <w:rPr>
              <w:rFonts w:hint="eastAsia" w:ascii="Times New Roman" w:hAnsi="Times New Roman" w:eastAsia="楷体"/>
              <w:szCs w:val="24"/>
            </w:rPr>
            <w:t>纯碱：供需面未有改善，期货继续偏弱运行</w:t>
          </w:r>
          <w:r>
            <w:rPr>
              <w:bCs/>
            </w:rPr>
            <w:fldChar w:fldCharType="end"/>
          </w:r>
        </w:p>
        <w:p>
          <w:pPr>
            <w:pStyle w:val="59"/>
            <w:tabs>
              <w:tab w:val="right" w:leader="dot" w:pos="8306"/>
            </w:tabs>
          </w:pPr>
          <w:r>
            <w:rPr>
              <w:bCs/>
            </w:rPr>
            <w:fldChar w:fldCharType="begin"/>
          </w:r>
          <w:r>
            <w:rPr>
              <w:bCs/>
            </w:rPr>
            <w:instrText xml:space="preserve"> HYPERLINK \l _Toc20961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_Toc21428 </w:instrText>
          </w:r>
          <w:r>
            <w:rPr>
              <w:bCs/>
            </w:rPr>
            <w:fldChar w:fldCharType="separate"/>
          </w:r>
          <w:r>
            <w:rPr>
              <w:rFonts w:hint="eastAsia" w:ascii="楷体" w:hAnsi="楷体" w:eastAsia="楷体"/>
              <w:bCs/>
            </w:rPr>
            <w:t>玉米与淀粉：</w:t>
          </w:r>
          <w:r>
            <w:rPr>
              <w:rFonts w:hint="eastAsia" w:ascii="楷体" w:hAnsi="楷体" w:eastAsia="楷体"/>
            </w:rPr>
            <w:t>关注华北-东北玉米价差</w:t>
          </w:r>
          <w:r>
            <w:rPr>
              <w:bCs/>
            </w:rPr>
            <w:fldChar w:fldCharType="end"/>
          </w:r>
        </w:p>
        <w:p>
          <w:pPr>
            <w:pStyle w:val="74"/>
            <w:tabs>
              <w:tab w:val="right" w:leader="dot" w:pos="8306"/>
            </w:tabs>
          </w:pPr>
          <w:r>
            <w:rPr>
              <w:bCs/>
            </w:rPr>
            <w:fldChar w:fldCharType="begin"/>
          </w:r>
          <w:r>
            <w:rPr>
              <w:bCs/>
            </w:rPr>
            <w:instrText xml:space="preserve"> HYPERLINK \l _Toc26164 </w:instrText>
          </w:r>
          <w:r>
            <w:rPr>
              <w:bCs/>
            </w:rPr>
            <w:fldChar w:fldCharType="separate"/>
          </w:r>
          <w:r>
            <w:rPr>
              <w:rFonts w:hint="eastAsia" w:ascii="楷体" w:hAnsi="楷体" w:eastAsia="楷体"/>
              <w:bCs/>
            </w:rPr>
            <w:t>畜禽养殖：现货带动基差走弱</w:t>
          </w:r>
          <w:r>
            <w:rPr>
              <w:bCs/>
            </w:rPr>
            <w:fldChar w:fldCharType="end"/>
          </w:r>
        </w:p>
        <w:p>
          <w:pPr>
            <w:pStyle w:val="74"/>
            <w:tabs>
              <w:tab w:val="right" w:leader="dot" w:pos="8306"/>
            </w:tabs>
          </w:pPr>
          <w:r>
            <w:rPr>
              <w:bCs/>
            </w:rPr>
            <w:fldChar w:fldCharType="begin"/>
          </w:r>
          <w:r>
            <w:rPr>
              <w:bCs/>
            </w:rPr>
            <w:instrText xml:space="preserve"> HYPERLINK \l _Toc6076 </w:instrText>
          </w:r>
          <w:r>
            <w:rPr>
              <w:bCs/>
            </w:rPr>
            <w:fldChar w:fldCharType="separate"/>
          </w:r>
          <w:r>
            <w:rPr>
              <w:rFonts w:hint="eastAsia" w:ascii="楷体" w:hAnsi="楷体" w:eastAsia="楷体"/>
              <w:bCs/>
            </w:rPr>
            <w:t>白糖：关注天气炒作下巴西糖产量变化</w:t>
          </w:r>
          <w:r>
            <w:rPr>
              <w:bCs/>
            </w:rPr>
            <w:fldChar w:fldCharType="end"/>
          </w:r>
        </w:p>
        <w:p>
          <w:pPr>
            <w:pStyle w:val="74"/>
            <w:tabs>
              <w:tab w:val="right" w:leader="dot" w:pos="8306"/>
            </w:tabs>
          </w:pPr>
          <w:r>
            <w:rPr>
              <w:bCs/>
            </w:rPr>
            <w:fldChar w:fldCharType="begin"/>
          </w:r>
          <w:r>
            <w:rPr>
              <w:bCs/>
            </w:rPr>
            <w:instrText xml:space="preserve"> HYPERLINK \l _Toc30009 </w:instrText>
          </w:r>
          <w:r>
            <w:rPr>
              <w:bCs/>
            </w:rPr>
            <w:fldChar w:fldCharType="separate"/>
          </w:r>
          <w:r>
            <w:rPr>
              <w:rFonts w:hint="eastAsia" w:ascii="楷体" w:hAnsi="楷体" w:eastAsia="楷体"/>
              <w:bCs/>
            </w:rPr>
            <w:t>棉花：供需格局难改，期价弱势运行</w:t>
          </w:r>
          <w:r>
            <w:rPr>
              <w:bCs/>
            </w:rPr>
            <w:fldChar w:fldCharType="end"/>
          </w:r>
        </w:p>
        <w:p>
          <w:pPr>
            <w:pStyle w:val="59"/>
            <w:tabs>
              <w:tab w:val="right" w:leader="dot" w:pos="8306"/>
            </w:tabs>
          </w:pPr>
          <w:r>
            <w:rPr>
              <w:bCs/>
            </w:rPr>
            <w:fldChar w:fldCharType="begin"/>
          </w:r>
          <w:r>
            <w:rPr>
              <w:bCs/>
            </w:rPr>
            <w:instrText xml:space="preserve"> HYPERLINK \l _Toc16119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_Toc20940 </w:instrText>
          </w:r>
          <w:r>
            <w:rPr>
              <w:bCs/>
            </w:rPr>
            <w:fldChar w:fldCharType="separate"/>
          </w:r>
          <w:r>
            <w:rPr>
              <w:rFonts w:hint="eastAsia" w:ascii="Times New Roman" w:hAnsi="Times New Roman" w:eastAsia="楷体"/>
              <w:szCs w:val="24"/>
            </w:rPr>
            <w:t>集运指数（欧线）： 订舱价格保持环比上涨，关注scfis落地情况</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126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924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待企稳后关注IF低多机会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五月信贷数据弱于预期，反映出517新政后房地产销售仍未出现明显的好转，实体部门融资需求较弱，短期金融数据不及预期或对市场情绪有一定负面影响，但市场对此亦有一定预期，影响时间不会太长。我们仍维持</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震荡市观点，大盘指数在7月三中全会中长期经济改革利好的预期牵引之下市场并没有大幅回调风险，依然是结构轮动为主。短线科技成长板块在政策利好下有一定机会，强监管周期下，市场风格中期预计重返大盘股，可考虑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73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5751"/>
      <w:r>
        <w:rPr>
          <w:rFonts w:hint="eastAsia" w:ascii="Times New Roman" w:hAnsi="Times New Roman" w:eastAsia="楷体"/>
          <w:b/>
          <w:color w:val="000000" w:themeColor="text1"/>
          <w:sz w:val="24"/>
          <w:szCs w:val="24"/>
          <w14:textFill>
            <w14:solidFill>
              <w14:schemeClr w14:val="tx1"/>
            </w14:solidFill>
          </w14:textFill>
        </w:rPr>
        <w:t>贵金属：美国消费者信心指数下滑，贵金属价格小幅回升</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五尾盘沪金涨1.19%至553.34元/克，周内整体下跌1.07%；沪银涨1.64%至7788元/千克，周内整体下跌1.70%。美国6月密歇根大学消费者信心指数初值降至65.6，低于预期；美国一年期通胀预期3.3%，长期通胀预期3.1%，略高于预期。美联储本月会议增量信息较少，点阵图略微下调降息预期，但未对市场预期产生较大影响，目前海外市场仍定价年内2次降息，后续仍需持续跟踪美国通胀及经济表现，期价短线或窄幅震荡。中长期角度而言，美联储今年以内大概率仍将启动降息，美元指数及美债收益率或偏弱震荡，利率下行的环境中贵金属作为零息资产的配置价值上升，建议贵金属中长期维持偏多思路，回调至均线支撑附近可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210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6"/>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碳酸锂：周度产量略微下降，期价小幅下跌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震荡下跌，上周三一度触及95200元/吨的近期新低，随后小幅回升，上周五07合约收跌1.02%至96900元/吨，上周整体下跌4.20%。碳酸锂供应保持基本稳定，生产企业开工及国内碳酸锂周度产量略微下降，上游持续累库，锂价进一步下跌后部分外采矿石生产企业成本倒挂，另外部分回收企业因原料成本较高而减产。基本面维持供强需弱，近期主力移仓换月，仓单量维持高位或令盘面略微承压，月末仓单注销后部分老仓单货源或流入现货市场，期价短期内或偏弱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794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铝价低位盘整，下方空间相对有限</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议息维持高利率，联储官员表示通胀压力减轻但依然偏高，年内降息乐观预期修正，美国5月CPI数据低于预期，宏观情绪支撑走弱。外运铝土矿受天气影响有发运困难预期，国内铝土矿缓慢复产但进度不急预期，铝土矿短期偏紧格局难以扭转，电解铝中游冶炼产能高产且有新增投产复产，下游加工企业开工率进入淡季表现趋弱，淡季库存理应进入累库阶段但仍保持小幅去库节奏，海外未锻造铝材出口需求旺盛。铝价承压运行，实际下方空间有限，供应虽有走增，需求仍有乐观预期，短期内维持区间震荡为主，观望淡季供需变化情况，参考震荡区间20500-21500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5673"/>
      <w:r>
        <w:rPr>
          <w:rFonts w:hint="eastAsia" w:ascii="楷体" w:hAnsi="楷体" w:eastAsia="楷体"/>
          <w:b/>
          <w:color w:val="000000" w:themeColor="text1"/>
          <w:sz w:val="24"/>
          <w:szCs w:val="24"/>
          <w14:textFill>
            <w14:solidFill>
              <w14:schemeClr w14:val="tx1"/>
            </w14:solidFill>
          </w14:textFill>
        </w:rPr>
        <w:t>锌：锌价回调盘整震荡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数据同比下降叠加就业市场降温，通胀压力减弱但联储官员表示仍未达到控制目标，短期内将维持高利率，年内预期联储降息次数减少，国内地产新政落地对市场消费形成良性刺激，整体上看，宏观情绪支撑走弱。矿端供应持续吃紧，进口TC及国内TC同步下滑，平均冶炼利润下降，冶炼企业投产积极性受挫，精炼锌产量下降但仍位于历史同期供应高位，下游需求旺季表现不旺，进入淡季消费无明显下降，镀锌开工周度环比上升，库存高位去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成本高企支撑锌价，冶炼利润下降拖累加工企业生产积极性，精炼锌产量下行反映加工企业悲观情绪，近期锌价快速下行带动下游采买情绪，库存高位去库，传统基建、地产板块有国家利多政策扶植支持，消费淡季或有不淡表现，短期锌价回调盘整，参考震荡区间23000-24500，建议观望震荡区间下方支撑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153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：短期偏震荡为主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(1)库存：6月14日，SHFE仓单库存266626吨，日减2263吨；SHFE周库存330753吨，较上周五减6211吨；LME仓单库存133925吨，日增1850吨。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(2)精废价差：6月14日，Mysteel精废价差1784，扩张36。目前价差在合理价差1493之上。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伴随海外重要经济数据及议息会议的结束，市场情绪回到相对冷静阶段。基本面，现货市场贴水转小幅升水，下游逢低刚需采购，对铜价有一定支撑作用，但当前整体供需仍处于相对过剩状态，价格反弹动力受限，关注库存变化，如持续去化，或支撑短期价格温和反弹，参考7.8-8.2万。</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2745"/>
      <w:r>
        <w:rPr>
          <w:rFonts w:hint="eastAsia" w:ascii="楷体" w:hAnsi="楷体" w:eastAsia="楷体"/>
          <w:b/>
          <w:color w:val="000000" w:themeColor="text1"/>
          <w:sz w:val="24"/>
          <w:szCs w:val="24"/>
          <w14:textFill>
            <w14:solidFill>
              <w14:schemeClr w14:val="tx1"/>
            </w14:solidFill>
          </w14:textFill>
        </w:rPr>
        <w:t>镍：宏观利多情绪褪去，镍价逢高沽空为主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随着美联储降息预期和全球制造业复苏预期的利多情绪退潮，市场交易逻辑将逐步回归基本面。原料端，印尼镍矿审批加快；钢厂对镍铁高价采购情绪减弱，预计镍铁价格承压运行；中间品偏紧情况暂未明显好转，价格随镍价下跌而有所下调；硫酸镍的原料成本略有下降且三元材料对其需求偏弱。供需方面，全球镍市过剩格局有所收窄，但国内精炼镍产能持续释放，终端三元材料领域对镍需求疲软。库存方面，镍价下跌促进下游逢低采购，上周国内库存去化。综合而言，印尼镍矿KRAB审批加快，原料价格整体有所下调，镍成本支撑减弱，国内过剩压力持续，预计短期镍价偏弱震荡，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2964"/>
      <w:r>
        <w:rPr>
          <w:rFonts w:hint="eastAsia" w:ascii="楷体" w:hAnsi="楷体" w:eastAsia="楷体"/>
          <w:b/>
          <w:color w:val="000000" w:themeColor="text1"/>
          <w:sz w:val="24"/>
          <w:szCs w:val="24"/>
          <w14:textFill>
            <w14:solidFill>
              <w14:schemeClr w14:val="tx1"/>
            </w14:solidFill>
          </w14:textFill>
        </w:rPr>
        <w:t>不锈钢：低利润弱需求，价格或窄幅震荡偏弱</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近日镍矿报价坚挺，但随着印尼镍矿供应逐渐释放，预计矿端支撑将减弱。镍铁方面，不锈钢高排产具有刚性需求，但由于不锈钢需求偏弱且维持累库，钢厂对镍铁高价采购情绪减弱，预计镍铁价格承压运行。据Mysteel数据，截至6月14日，304冷轧外购高镍铁工艺冶炼成本13910元/吨。供需方面，不锈钢排产处于高位水平，然而下游成交氛围冷清，社会库存累库幅度增大，仓单库存增至18.73万吨，反映供应压力加大。综合而言，一方面，不锈钢成本支撑减弱，下游需求未有起色，仓单库存历史高位，对价格带来压制；另一方面，目前不锈钢厂生产利润下降至成本边际，价格下行动能也有限，预计价格或窄幅震荡偏弱。</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260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西南维持复产节奏，厂库暂无明显压力</w:t>
      </w:r>
      <w:bookmarkEnd w:id="25"/>
    </w:p>
    <w:p>
      <w:pPr>
        <w:ind w:left="630" w:leftChars="300"/>
        <w:rPr>
          <w:rFonts w:hint="eastAsia" w:ascii="楷体" w:hAnsi="楷体" w:eastAsia="楷体"/>
          <w:sz w:val="24"/>
          <w:szCs w:val="24"/>
        </w:rPr>
      </w:pPr>
      <w:r>
        <w:rPr>
          <w:rFonts w:hint="eastAsia" w:ascii="楷体" w:hAnsi="楷体" w:eastAsia="楷体"/>
          <w:sz w:val="24"/>
          <w:szCs w:val="24"/>
        </w:rPr>
        <w:t>6月14日，Si2409主力合约呈震荡走势，收盘价12170元/吨，较上一收盘价涨跌幅+0.12%。从基本面来看，西南产区维持复产节奏，四川进入丰水期以及云南进入平水期，使得四川、云南继续推进复产，后续开工仍有进一步提高空间，供应存在增加预期。但由于此前盘面反弹，工厂套保积极性整体较高，厂库压力得到阶段性有效缓解，或对盘面起到一定支撑，但基本面宽松格局暂无改善，大幅上行压力仍存，短期盘面或震荡运行，参考区间（11800，12500）。</w:t>
      </w:r>
    </w:p>
    <w:p>
      <w:pPr>
        <w:ind w:left="630" w:leftChars="300"/>
        <w:rPr>
          <w:rFonts w:ascii="楷体" w:hAnsi="楷体" w:eastAsia="楷体"/>
          <w:sz w:val="24"/>
          <w:szCs w:val="24"/>
        </w:rPr>
      </w:pPr>
      <w:r>
        <w:rPr>
          <w:rFonts w:hint="eastAsia" w:ascii="楷体" w:hAnsi="楷体" w:eastAsia="楷体"/>
          <w:sz w:val="24"/>
          <w:szCs w:val="24"/>
        </w:rPr>
        <w:t>策略上，可尝试波段操作。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0148"/>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3174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全钢胎表现较弱 天胶有所回落</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近期泰国主产区天气仍有扰动，导致新胶产出量较少，泰国宋卡地区原料价格止跌回升，给予盘面较强底部支撑。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表现坚挺，仍处于偏强水平，对胶价存底部支撑明显。但节后归来橡胶因短线涨幅过大、合成橡胶向上乏力以及全钢胎大范围检修而冲高回落。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8521"/>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31608"/>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多头连续两周减仓，关注终端需求</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盘面上看，玻璃昨日夜盘收于1621元/吨，跌至近一个月低位。现货方面，华北玻璃现货价格在1630元/吨</w:t>
      </w:r>
    </w:p>
    <w:p>
      <w:pPr>
        <w:ind w:left="630" w:leftChars="300"/>
        <w:rPr>
          <w:rFonts w:hint="eastAsia" w:ascii="楷体" w:hAnsi="楷体" w:eastAsia="楷体"/>
          <w:sz w:val="24"/>
          <w:szCs w:val="24"/>
        </w:rPr>
      </w:pPr>
      <w:r>
        <w:rPr>
          <w:rFonts w:hint="eastAsia" w:ascii="楷体" w:hAnsi="楷体" w:eastAsia="楷体"/>
          <w:sz w:val="24"/>
          <w:szCs w:val="24"/>
        </w:rPr>
        <w:t>宏观方面，5月17日由国务院带头发起对于房地产烂尾楼解决方案的讨论，保交房决心提振市场信心。</w:t>
      </w:r>
    </w:p>
    <w:p>
      <w:pPr>
        <w:ind w:left="630" w:leftChars="300"/>
        <w:rPr>
          <w:rFonts w:hint="eastAsia" w:ascii="楷体" w:hAnsi="楷体" w:eastAsia="楷体"/>
          <w:sz w:val="24"/>
          <w:szCs w:val="24"/>
        </w:rPr>
      </w:pPr>
      <w:r>
        <w:rPr>
          <w:rFonts w:hint="eastAsia" w:ascii="楷体" w:hAnsi="楷体" w:eastAsia="楷体"/>
          <w:sz w:val="24"/>
          <w:szCs w:val="24"/>
        </w:rPr>
        <w:t>供给端方面，本周个别玻璃装置检修致产量略减。随着利润压缩，后市仍有检修的概率加大，预计玻璃供应将延续下滑。需求方面，企业降价返利等措施致下游补库需求增加，但终端需求仍有待验证。</w:t>
      </w:r>
    </w:p>
    <w:p>
      <w:pPr>
        <w:ind w:left="630" w:leftChars="300"/>
        <w:rPr>
          <w:rFonts w:hint="eastAsia" w:ascii="楷体" w:hAnsi="楷体" w:eastAsia="楷体"/>
          <w:sz w:val="24"/>
          <w:szCs w:val="24"/>
        </w:rPr>
      </w:pPr>
      <w:r>
        <w:rPr>
          <w:rFonts w:hint="eastAsia" w:ascii="楷体" w:hAnsi="楷体" w:eastAsia="楷体"/>
          <w:sz w:val="24"/>
          <w:szCs w:val="24"/>
        </w:rPr>
        <w:t>现货供需有所好转，近日出现反弹，叠加政策预期逻辑仍存，短期内预计期价宽幅震荡。</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31365"/>
      <w:r>
        <w:rPr>
          <w:rFonts w:hint="eastAsia" w:ascii="Times New Roman" w:hAnsi="Times New Roman" w:eastAsia="楷体"/>
          <w:b/>
          <w:color w:val="000000" w:themeColor="text1"/>
          <w:sz w:val="24"/>
          <w:szCs w:val="24"/>
          <w14:textFill>
            <w14:solidFill>
              <w14:schemeClr w14:val="tx1"/>
            </w14:solidFill>
          </w14:textFill>
        </w:rPr>
        <w:t>纯碱：供需面未有改善，期货继续偏弱运行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盘面上看，纯碱昨晚夜盘收于2152，上周总体保持窄幅震荡。</w:t>
      </w:r>
    </w:p>
    <w:p>
      <w:pPr>
        <w:ind w:left="630" w:leftChars="300"/>
        <w:rPr>
          <w:rFonts w:hint="eastAsia" w:ascii="楷体" w:hAnsi="楷体" w:eastAsia="楷体"/>
          <w:sz w:val="24"/>
          <w:szCs w:val="24"/>
        </w:rPr>
      </w:pPr>
      <w:r>
        <w:rPr>
          <w:rFonts w:hint="eastAsia" w:ascii="楷体" w:hAnsi="楷体" w:eastAsia="楷体"/>
          <w:sz w:val="24"/>
          <w:szCs w:val="24"/>
        </w:rPr>
        <w:t>截至6月14日，纯碱2409合约收盘于2156元/吨，沙河重碱现货价格为2200元/吨，基差为44元/吨。随着前期检修企业恢复生产，纯碱供应将有所增加；下游需求仍维持偏弱，碱厂新增订单有限。</w:t>
      </w:r>
    </w:p>
    <w:p>
      <w:pPr>
        <w:ind w:left="630" w:leftChars="300"/>
        <w:rPr>
          <w:rFonts w:hint="eastAsia" w:ascii="楷体" w:hAnsi="楷体" w:eastAsia="楷体"/>
          <w:sz w:val="24"/>
          <w:szCs w:val="24"/>
        </w:rPr>
      </w:pPr>
      <w:r>
        <w:rPr>
          <w:rFonts w:hint="eastAsia" w:ascii="楷体" w:hAnsi="楷体" w:eastAsia="楷体"/>
          <w:sz w:val="24"/>
          <w:szCs w:val="24"/>
        </w:rPr>
        <w:t>基本面来看，前期检修企业陆续复产，负荷提升，上周纯碱产量大幅上涨。纯碱利润高位维持下，部分厂家生产相对稳定。本周并无检修计划，整体供应量依然充足，未能有效缓解市场压力。</w:t>
      </w:r>
    </w:p>
    <w:p>
      <w:pPr>
        <w:ind w:left="630" w:leftChars="300"/>
        <w:rPr>
          <w:rFonts w:hint="eastAsia" w:ascii="楷体" w:hAnsi="楷体" w:eastAsia="楷体"/>
          <w:sz w:val="24"/>
          <w:szCs w:val="24"/>
        </w:rPr>
      </w:pPr>
      <w:r>
        <w:rPr>
          <w:rFonts w:hint="eastAsia" w:ascii="楷体" w:hAnsi="楷体" w:eastAsia="楷体"/>
          <w:sz w:val="24"/>
          <w:szCs w:val="24"/>
        </w:rPr>
        <w:t>在需求端，玻璃行业等主要下游市场的需求呈现疲软态势。特别是轻碱市场需求明显下滑，出货难度增加。</w:t>
      </w:r>
    </w:p>
    <w:p>
      <w:pPr>
        <w:ind w:left="630" w:leftChars="300"/>
        <w:rPr>
          <w:rFonts w:ascii="楷体" w:hAnsi="楷体" w:eastAsia="楷体"/>
          <w:sz w:val="24"/>
          <w:szCs w:val="24"/>
        </w:rPr>
      </w:pPr>
      <w:r>
        <w:rPr>
          <w:rFonts w:hint="eastAsia" w:ascii="楷体" w:hAnsi="楷体" w:eastAsia="楷体"/>
          <w:sz w:val="24"/>
          <w:szCs w:val="24"/>
        </w:rPr>
        <w:t>纯碱供需仍然偏宽松，因此短期期货市场或维持偏弱震荡。</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0961"/>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142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关注华北-东北玉米价差</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那么在当前期现货水平下陈稻即使抛储亦不能带来实质供应；而新作小麦层面则一方面产量不及预期，另一方面国家启动增储收购，这有望使得小麦饲用替代量受限，因此，我们倾向于认为国内玉米存在产需缺口。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考虑到淀粉副产品受蛋白粕带动相对弱势，而盘面生产利润均处于亏损状态，这有望抑制淀粉-玉米价差收窄的空间。后期价差能否走扩则需要重点留意国家增储背景下的华北-东北玉米价差走势，因其将抬高华北淀粉生产成本，一方面直接带动淀粉交割成本，另一方面间接带动中下游阶段性补库，从而带动行业供需改善。综上所述，我们维持谨慎看多观点，建议前期多单可以考虑继续持有，同时可以考虑做扩淀粉-玉米价差。</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26164"/>
      <w:r>
        <w:rPr>
          <w:rFonts w:hint="eastAsia" w:ascii="楷体" w:hAnsi="楷体" w:eastAsia="楷体"/>
          <w:b/>
          <w:bCs/>
          <w:color w:val="000000" w:themeColor="text1"/>
          <w14:textFill>
            <w14:solidFill>
              <w14:schemeClr w14:val="tx1"/>
            </w14:solidFill>
          </w14:textFill>
        </w:rPr>
        <w:t>畜禽养殖：现货带动基差走弱</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在这种情况下，考虑到目前期价均贴水现货，接下来需要特别留意现货走势，因市场将据此判断生猪市场供需预期。在我们看来，如接下来养殖户出栏加快，带动出栏均重和宰后均重下滑，反而有利于下半年猪价上涨。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目前基差继续处于历史同期高位，如果现货在接下来的淡季表现抗跌，则可能带来市场对供需预期的变化。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6076"/>
      <w:r>
        <w:rPr>
          <w:rFonts w:hint="eastAsia" w:ascii="楷体" w:hAnsi="楷体" w:eastAsia="楷体"/>
          <w:b/>
          <w:bCs/>
          <w:color w:val="000000" w:themeColor="text1"/>
          <w14:textFill>
            <w14:solidFill>
              <w14:schemeClr w14:val="tx1"/>
            </w14:solidFill>
          </w14:textFill>
        </w:rPr>
        <w:t>白糖：关注天气炒作下巴西糖产量变化</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纽约原糖主连和伦敦白砂糖主连分别上涨4.41%和3.02%，但最后一个交易日均出现较大下跌。上周糖价持续上涨主要是因为巴西糖产量不及预期，巴西产糖强劲开局后后劲不足。但据咨询公司Datagro预测，全球糖市2024/25年度将有162万吨的小幅过剩，而2023/24年度为179万吨的供应缺口，供应增加给糖价施压。国内昨日夜盘白糖主力合约下跌0.18%。新榨季糖料种植方面，广西大部蔗区水热条件有利于甘蔗生长，云南强降雨缓解前期干旱，内蒙古、新疆甜菜总体长势良好，目前天气炒作空间不大。而随着夏季消费旺季即将到来，期价有一定支撑。预计价格跟随外盘变动，区间震荡，暂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30009"/>
      <w:r>
        <w:rPr>
          <w:rFonts w:hint="eastAsia" w:ascii="楷体" w:hAnsi="楷体" w:eastAsia="楷体"/>
          <w:b/>
          <w:bCs/>
          <w:color w:val="000000" w:themeColor="text1"/>
          <w14:textFill>
            <w14:solidFill>
              <w14:schemeClr w14:val="tx1"/>
            </w14:solidFill>
          </w14:textFill>
        </w:rPr>
        <w:t>棉花：供需格局难改，期价弱势运行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外盘美棉下跌0.81%，期价弱势运行。根据USDA6月预测，新年度全球产量调增幅度大于消费，期末库存增加，期价依旧偏空。截止6月9日，美棉播种进度80%，与近5年均值持平。国内昨日夜盘棉花、棉纱主力合约均上涨0.10%，跟随上周五美棉变动趋势。随着棉价继续下滑，纺企逢低点价情况有所增加，棉花加速下跌有利于纺企利润修复。但纺企下游贸易商采购价低于纺企报价，走货依旧不畅。当前下游市场淡季特征明显，棉价依旧有下行预期。</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6119"/>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0940"/>
      <w:r>
        <w:rPr>
          <w:rFonts w:hint="eastAsia" w:ascii="Times New Roman" w:hAnsi="Times New Roman" w:eastAsia="楷体"/>
          <w:b/>
          <w:color w:val="000000" w:themeColor="text1"/>
          <w:sz w:val="24"/>
          <w:szCs w:val="24"/>
          <w14:textFill>
            <w14:solidFill>
              <w14:schemeClr w14:val="tx1"/>
            </w14:solidFill>
          </w14:textFill>
        </w:rPr>
        <w:t>集运指数（欧线）： 订舱价格保持环比上涨，关注scfis落地情况</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现货方面，6月14日公布scfi欧线最新为4179，环比上涨5.82%，继续保持上涨势头。6月7日，上海港出口至欧洲基本港市场运价（SCFI欧线）为3949美元/TEU，较上期上涨5.6%。</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供应端来看，短期船舶运力供应持续偏紧。需求方面，6月12日，欧盟委员会发布反补贴调查初裁披露，拟对中国电动汽车征收17.4%〜38.1%的临时反补贴税。或对我国出口造成部分影响，但短期冲击或不大。</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前期由于供应短缺与地缘紧张因素，多头情绪强烈，EC合约集体创新高，上周近月合约保持窄幅高位震荡，远月合约则宽幅震荡走高。短期EC价格受消息面影响高位波动，建议观望为主。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2779"/>
      <w:bookmarkStart w:id="41" w:name="_Toc98426751"/>
      <w:bookmarkStart w:id="42" w:name="_Toc19667"/>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2024年6月17日星期一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2024-06-17T02:40:29Z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