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_Toc3169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_Toc22000 </w:instrText>
          </w:r>
          <w:r>
            <w:rPr>
              <w:bCs/>
            </w:rPr>
            <w:fldChar w:fldCharType="separate"/>
          </w:r>
          <w:r>
            <w:rPr>
              <w:rFonts w:hint="eastAsia" w:ascii="Times New Roman" w:hAnsi="Times New Roman" w:eastAsia="楷体"/>
              <w:szCs w:val="24"/>
            </w:rPr>
            <w:t>股指：待企稳后关注IF低多机会</w:t>
          </w:r>
          <w:r>
            <w:rPr>
              <w:bCs/>
            </w:rPr>
            <w:fldChar w:fldCharType="end"/>
          </w:r>
        </w:p>
        <w:p>
          <w:pPr>
            <w:pStyle w:val="59"/>
            <w:tabs>
              <w:tab w:val="right" w:leader="dot" w:pos="8306"/>
            </w:tabs>
          </w:pPr>
          <w:r>
            <w:rPr>
              <w:bCs/>
            </w:rPr>
            <w:fldChar w:fldCharType="begin"/>
          </w:r>
          <w:r>
            <w:rPr>
              <w:bCs/>
            </w:rPr>
            <w:instrText xml:space="preserve"> HYPERLINK \l _Toc21572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_Toc4470 </w:instrText>
          </w:r>
          <w:r>
            <w:rPr>
              <w:bCs/>
            </w:rPr>
            <w:fldChar w:fldCharType="separate"/>
          </w:r>
          <w:r>
            <w:rPr>
              <w:rFonts w:hint="eastAsia" w:ascii="Times New Roman" w:hAnsi="Times New Roman" w:eastAsia="楷体"/>
              <w:szCs w:val="24"/>
            </w:rPr>
            <w:t>贵金属：美元指数上涨，贵金属价格下跌</w:t>
          </w:r>
          <w:r>
            <w:rPr>
              <w:bCs/>
            </w:rPr>
            <w:fldChar w:fldCharType="end"/>
          </w:r>
        </w:p>
        <w:p>
          <w:pPr>
            <w:pStyle w:val="59"/>
            <w:tabs>
              <w:tab w:val="right" w:leader="dot" w:pos="8306"/>
            </w:tabs>
          </w:pPr>
          <w:r>
            <w:rPr>
              <w:bCs/>
            </w:rPr>
            <w:fldChar w:fldCharType="begin"/>
          </w:r>
          <w:r>
            <w:rPr>
              <w:bCs/>
            </w:rPr>
            <w:instrText xml:space="preserve"> HYPERLINK \l _Toc5573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_Toc26585 </w:instrText>
          </w:r>
          <w:r>
            <w:rPr>
              <w:bCs/>
            </w:rPr>
            <w:fldChar w:fldCharType="separate"/>
          </w:r>
          <w:r>
            <w:rPr>
              <w:rFonts w:hint="eastAsia" w:ascii="楷体" w:hAnsi="楷体" w:eastAsia="楷体"/>
              <w:szCs w:val="24"/>
            </w:rPr>
            <w:t>碳酸锂：欧盟对华加征电动汽车关税，期价小幅上涨</w:t>
          </w:r>
          <w:r>
            <w:rPr>
              <w:bCs/>
            </w:rPr>
            <w:fldChar w:fldCharType="end"/>
          </w:r>
        </w:p>
        <w:p>
          <w:pPr>
            <w:pStyle w:val="74"/>
            <w:tabs>
              <w:tab w:val="right" w:leader="dot" w:pos="8306"/>
            </w:tabs>
          </w:pPr>
          <w:r>
            <w:rPr>
              <w:bCs/>
            </w:rPr>
            <w:fldChar w:fldCharType="begin"/>
          </w:r>
          <w:r>
            <w:rPr>
              <w:bCs/>
            </w:rPr>
            <w:instrText xml:space="preserve"> HYPERLINK \l _Toc23688 </w:instrText>
          </w:r>
          <w:r>
            <w:rPr>
              <w:bCs/>
            </w:rPr>
            <w:fldChar w:fldCharType="separate"/>
          </w:r>
          <w:r>
            <w:rPr>
              <w:rFonts w:hint="eastAsia" w:ascii="楷体" w:hAnsi="楷体" w:eastAsia="楷体"/>
              <w:szCs w:val="24"/>
            </w:rPr>
            <w:t>铝：铝价区间震荡择向</w:t>
          </w:r>
          <w:r>
            <w:rPr>
              <w:bCs/>
            </w:rPr>
            <w:fldChar w:fldCharType="end"/>
          </w:r>
        </w:p>
        <w:p>
          <w:pPr>
            <w:pStyle w:val="74"/>
            <w:tabs>
              <w:tab w:val="right" w:leader="dot" w:pos="8306"/>
            </w:tabs>
          </w:pPr>
          <w:r>
            <w:rPr>
              <w:bCs/>
            </w:rPr>
            <w:fldChar w:fldCharType="begin"/>
          </w:r>
          <w:r>
            <w:rPr>
              <w:bCs/>
            </w:rPr>
            <w:instrText xml:space="preserve"> HYPERLINK \l _Toc26085 </w:instrText>
          </w:r>
          <w:r>
            <w:rPr>
              <w:bCs/>
            </w:rPr>
            <w:fldChar w:fldCharType="separate"/>
          </w:r>
          <w:r>
            <w:rPr>
              <w:rFonts w:hint="eastAsia" w:ascii="楷体" w:hAnsi="楷体" w:eastAsia="楷体"/>
              <w:szCs w:val="24"/>
            </w:rPr>
            <w:t>锌：锌价回调盘整震荡</w:t>
          </w:r>
          <w:r>
            <w:rPr>
              <w:bCs/>
            </w:rPr>
            <w:fldChar w:fldCharType="end"/>
          </w:r>
        </w:p>
        <w:p>
          <w:pPr>
            <w:pStyle w:val="74"/>
            <w:tabs>
              <w:tab w:val="right" w:leader="dot" w:pos="8306"/>
            </w:tabs>
          </w:pPr>
          <w:r>
            <w:rPr>
              <w:bCs/>
            </w:rPr>
            <w:fldChar w:fldCharType="begin"/>
          </w:r>
          <w:r>
            <w:rPr>
              <w:bCs/>
            </w:rPr>
            <w:instrText xml:space="preserve"> HYPERLINK \l _Toc23292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：短期偏震荡为主</w:t>
          </w:r>
          <w:r>
            <w:rPr>
              <w:bCs/>
            </w:rPr>
            <w:fldChar w:fldCharType="end"/>
          </w:r>
        </w:p>
        <w:p>
          <w:pPr>
            <w:pStyle w:val="74"/>
            <w:tabs>
              <w:tab w:val="right" w:leader="dot" w:pos="8306"/>
            </w:tabs>
          </w:pPr>
          <w:r>
            <w:rPr>
              <w:bCs/>
            </w:rPr>
            <w:fldChar w:fldCharType="begin"/>
          </w:r>
          <w:r>
            <w:rPr>
              <w:bCs/>
            </w:rPr>
            <w:instrText xml:space="preserve"> HYPERLINK \l _Toc12764 </w:instrText>
          </w:r>
          <w:r>
            <w:rPr>
              <w:bCs/>
            </w:rPr>
            <w:fldChar w:fldCharType="separate"/>
          </w:r>
          <w:r>
            <w:rPr>
              <w:rFonts w:hint="eastAsia" w:ascii="楷体" w:hAnsi="楷体" w:eastAsia="楷体"/>
              <w:szCs w:val="24"/>
            </w:rPr>
            <w:t>镍：宏观利多情绪褪去，镍价逢高沽空为主</w:t>
          </w:r>
          <w:r>
            <w:rPr>
              <w:bCs/>
            </w:rPr>
            <w:fldChar w:fldCharType="end"/>
          </w:r>
        </w:p>
        <w:p>
          <w:pPr>
            <w:pStyle w:val="74"/>
            <w:tabs>
              <w:tab w:val="right" w:leader="dot" w:pos="8306"/>
            </w:tabs>
          </w:pPr>
          <w:r>
            <w:rPr>
              <w:bCs/>
            </w:rPr>
            <w:fldChar w:fldCharType="begin"/>
          </w:r>
          <w:r>
            <w:rPr>
              <w:bCs/>
            </w:rPr>
            <w:instrText xml:space="preserve"> HYPERLINK \l _Toc3522 </w:instrText>
          </w:r>
          <w:r>
            <w:rPr>
              <w:bCs/>
            </w:rPr>
            <w:fldChar w:fldCharType="separate"/>
          </w:r>
          <w:r>
            <w:rPr>
              <w:rFonts w:hint="eastAsia" w:ascii="楷体" w:hAnsi="楷体" w:eastAsia="楷体"/>
              <w:szCs w:val="24"/>
            </w:rPr>
            <w:t>不锈钢：供需压力犹存，价格或窄幅震荡偏弱</w:t>
          </w:r>
          <w:r>
            <w:rPr>
              <w:bCs/>
            </w:rPr>
            <w:fldChar w:fldCharType="end"/>
          </w:r>
        </w:p>
        <w:p>
          <w:pPr>
            <w:pStyle w:val="74"/>
            <w:tabs>
              <w:tab w:val="right" w:leader="dot" w:pos="8306"/>
            </w:tabs>
          </w:pPr>
          <w:r>
            <w:rPr>
              <w:bCs/>
            </w:rPr>
            <w:fldChar w:fldCharType="begin"/>
          </w:r>
          <w:r>
            <w:rPr>
              <w:bCs/>
            </w:rPr>
            <w:instrText xml:space="preserve"> HYPERLINK \l _Toc4020 </w:instrText>
          </w:r>
          <w:r>
            <w:rPr>
              <w:bCs/>
            </w:rPr>
            <w:fldChar w:fldCharType="separate"/>
          </w:r>
          <w:r>
            <w:rPr>
              <w:rFonts w:hint="eastAsia" w:ascii="楷体" w:hAnsi="楷体" w:eastAsia="楷体"/>
              <w:szCs w:val="24"/>
            </w:rPr>
            <w:t>工业硅：宏观情绪反复，短期进一步下跌或有限</w:t>
          </w:r>
          <w:r>
            <w:rPr>
              <w:bCs/>
            </w:rPr>
            <w:fldChar w:fldCharType="end"/>
          </w:r>
        </w:p>
        <w:p>
          <w:pPr>
            <w:pStyle w:val="59"/>
            <w:tabs>
              <w:tab w:val="right" w:leader="dot" w:pos="8306"/>
            </w:tabs>
          </w:pPr>
          <w:r>
            <w:rPr>
              <w:bCs/>
            </w:rPr>
            <w:fldChar w:fldCharType="begin"/>
          </w:r>
          <w:r>
            <w:rPr>
              <w:bCs/>
            </w:rPr>
            <w:instrText xml:space="preserve"> HYPERLINK \l _Toc25442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_Toc19577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全钢胎表现较弱 天胶有所回落</w:t>
          </w:r>
          <w:r>
            <w:rPr>
              <w:bCs/>
            </w:rPr>
            <w:fldChar w:fldCharType="end"/>
          </w:r>
        </w:p>
        <w:p>
          <w:pPr>
            <w:pStyle w:val="74"/>
            <w:tabs>
              <w:tab w:val="right" w:leader="dot" w:pos="8306"/>
            </w:tabs>
          </w:pPr>
          <w:r>
            <w:rPr>
              <w:bCs/>
            </w:rPr>
            <w:fldChar w:fldCharType="begin"/>
          </w:r>
          <w:r>
            <w:rPr>
              <w:bCs/>
            </w:rPr>
            <w:instrText xml:space="preserve"> HYPERLINK \l _Toc21182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_Toc29063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现货价格有所好转，期市或维持宽幅震荡</w:t>
          </w:r>
          <w:r>
            <w:rPr>
              <w:bCs/>
            </w:rPr>
            <w:fldChar w:fldCharType="end"/>
          </w:r>
        </w:p>
        <w:p>
          <w:pPr>
            <w:pStyle w:val="74"/>
            <w:tabs>
              <w:tab w:val="right" w:leader="dot" w:pos="8306"/>
            </w:tabs>
          </w:pPr>
          <w:r>
            <w:rPr>
              <w:bCs/>
            </w:rPr>
            <w:fldChar w:fldCharType="begin"/>
          </w:r>
          <w:r>
            <w:rPr>
              <w:bCs/>
            </w:rPr>
            <w:instrText xml:space="preserve"> HYPERLINK \l _Toc24016 </w:instrText>
          </w:r>
          <w:r>
            <w:rPr>
              <w:bCs/>
            </w:rPr>
            <w:fldChar w:fldCharType="separate"/>
          </w:r>
          <w:r>
            <w:rPr>
              <w:rFonts w:hint="eastAsia" w:ascii="Times New Roman" w:hAnsi="Times New Roman" w:eastAsia="楷体"/>
              <w:szCs w:val="24"/>
            </w:rPr>
            <w:t>纯碱：静待供需平衡到来，期货或继续弱震荡</w:t>
          </w:r>
          <w:r>
            <w:rPr>
              <w:bCs/>
            </w:rPr>
            <w:fldChar w:fldCharType="end"/>
          </w:r>
        </w:p>
        <w:p>
          <w:pPr>
            <w:pStyle w:val="59"/>
            <w:tabs>
              <w:tab w:val="right" w:leader="dot" w:pos="8306"/>
            </w:tabs>
          </w:pPr>
          <w:r>
            <w:rPr>
              <w:bCs/>
            </w:rPr>
            <w:fldChar w:fldCharType="begin"/>
          </w:r>
          <w:r>
            <w:rPr>
              <w:bCs/>
            </w:rPr>
            <w:instrText xml:space="preserve"> HYPERLINK \l _Toc26291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_Toc11203 </w:instrText>
          </w:r>
          <w:r>
            <w:rPr>
              <w:bCs/>
            </w:rPr>
            <w:fldChar w:fldCharType="separate"/>
          </w:r>
          <w:r>
            <w:rPr>
              <w:rFonts w:hint="eastAsia" w:ascii="楷体" w:hAnsi="楷体" w:eastAsia="楷体"/>
              <w:bCs/>
            </w:rPr>
            <w:t>玉米与淀粉：</w:t>
          </w:r>
          <w:r>
            <w:rPr>
              <w:rFonts w:hint="eastAsia" w:ascii="楷体" w:hAnsi="楷体" w:eastAsia="楷体"/>
            </w:rPr>
            <w:t>夜盘淀粉表现强于玉米</w:t>
          </w:r>
          <w:r>
            <w:rPr>
              <w:bCs/>
            </w:rPr>
            <w:fldChar w:fldCharType="end"/>
          </w:r>
        </w:p>
        <w:p>
          <w:pPr>
            <w:pStyle w:val="74"/>
            <w:tabs>
              <w:tab w:val="right" w:leader="dot" w:pos="8306"/>
            </w:tabs>
          </w:pPr>
          <w:r>
            <w:rPr>
              <w:bCs/>
            </w:rPr>
            <w:fldChar w:fldCharType="begin"/>
          </w:r>
          <w:r>
            <w:rPr>
              <w:bCs/>
            </w:rPr>
            <w:instrText xml:space="preserve"> HYPERLINK \l _Toc8861 </w:instrText>
          </w:r>
          <w:r>
            <w:rPr>
              <w:bCs/>
            </w:rPr>
            <w:fldChar w:fldCharType="separate"/>
          </w:r>
          <w:r>
            <w:rPr>
              <w:rFonts w:hint="eastAsia" w:ascii="楷体" w:hAnsi="楷体" w:eastAsia="楷体"/>
              <w:bCs/>
            </w:rPr>
            <w:t>畜禽养殖：生猪现货带动期价大幅回落</w:t>
          </w:r>
          <w:r>
            <w:rPr>
              <w:bCs/>
            </w:rPr>
            <w:fldChar w:fldCharType="end"/>
          </w:r>
        </w:p>
        <w:p>
          <w:pPr>
            <w:pStyle w:val="74"/>
            <w:tabs>
              <w:tab w:val="right" w:leader="dot" w:pos="8306"/>
            </w:tabs>
          </w:pPr>
          <w:r>
            <w:rPr>
              <w:bCs/>
            </w:rPr>
            <w:fldChar w:fldCharType="begin"/>
          </w:r>
          <w:r>
            <w:rPr>
              <w:bCs/>
            </w:rPr>
            <w:instrText xml:space="preserve"> HYPERLINK \l _Toc31843 </w:instrText>
          </w:r>
          <w:r>
            <w:rPr>
              <w:bCs/>
            </w:rPr>
            <w:fldChar w:fldCharType="separate"/>
          </w:r>
          <w:r>
            <w:rPr>
              <w:rFonts w:hint="eastAsia" w:ascii="楷体" w:hAnsi="楷体" w:eastAsia="楷体"/>
              <w:bCs/>
            </w:rPr>
            <w:t>白糖：巴西干旱推动国际糖价</w:t>
          </w:r>
          <w:r>
            <w:rPr>
              <w:bCs/>
            </w:rPr>
            <w:fldChar w:fldCharType="end"/>
          </w:r>
        </w:p>
        <w:p>
          <w:pPr>
            <w:pStyle w:val="74"/>
            <w:tabs>
              <w:tab w:val="right" w:leader="dot" w:pos="8306"/>
            </w:tabs>
          </w:pPr>
          <w:r>
            <w:rPr>
              <w:bCs/>
            </w:rPr>
            <w:fldChar w:fldCharType="begin"/>
          </w:r>
          <w:r>
            <w:rPr>
              <w:bCs/>
            </w:rPr>
            <w:instrText xml:space="preserve"> HYPERLINK \l _Toc17092 </w:instrText>
          </w:r>
          <w:r>
            <w:rPr>
              <w:bCs/>
            </w:rPr>
            <w:fldChar w:fldCharType="separate"/>
          </w:r>
          <w:r>
            <w:rPr>
              <w:rFonts w:hint="eastAsia" w:ascii="楷体" w:hAnsi="楷体" w:eastAsia="楷体"/>
              <w:bCs/>
            </w:rPr>
            <w:t>棉花：出口数据提振美棉，郑棉无支撑依旧下跌</w:t>
          </w:r>
          <w:r>
            <w:rPr>
              <w:bCs/>
            </w:rPr>
            <w:fldChar w:fldCharType="end"/>
          </w:r>
        </w:p>
        <w:p>
          <w:pPr>
            <w:pStyle w:val="59"/>
            <w:tabs>
              <w:tab w:val="right" w:leader="dot" w:pos="8306"/>
            </w:tabs>
          </w:pPr>
          <w:r>
            <w:rPr>
              <w:bCs/>
            </w:rPr>
            <w:fldChar w:fldCharType="begin"/>
          </w:r>
          <w:r>
            <w:rPr>
              <w:bCs/>
            </w:rPr>
            <w:instrText xml:space="preserve"> HYPERLINK \l _Toc2165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_Toc28951 </w:instrText>
          </w:r>
          <w:r>
            <w:rPr>
              <w:bCs/>
            </w:rPr>
            <w:fldChar w:fldCharType="separate"/>
          </w:r>
          <w:r>
            <w:rPr>
              <w:rFonts w:hint="eastAsia" w:ascii="Times New Roman" w:hAnsi="Times New Roman" w:eastAsia="楷体"/>
              <w:szCs w:val="24"/>
            </w:rPr>
            <w:t>集运指数（欧线）： SCFI涨幅放缓， EC合约大幅高位回落</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16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200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待企稳后关注IF低多机会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前市场没有重大下行风险仍是基准判断，市场缩量轮动，外盘影响逐渐缩减，大盘强势方向补跌至震荡区间下沿，本轮休整或逐渐进入尾声期，若以看长做短思路来看，维持广义高股息资产才是2024年的结构主线。短线可考虑低位试多IF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57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4470"/>
      <w:r>
        <w:rPr>
          <w:rFonts w:hint="eastAsia" w:ascii="Times New Roman" w:hAnsi="Times New Roman" w:eastAsia="楷体"/>
          <w:b/>
          <w:color w:val="000000" w:themeColor="text1"/>
          <w:sz w:val="24"/>
          <w:szCs w:val="24"/>
          <w14:textFill>
            <w14:solidFill>
              <w14:schemeClr w14:val="tx1"/>
            </w14:solidFill>
          </w14:textFill>
        </w:rPr>
        <w:t>贵金属：美元指数上涨，贵金属价格下跌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0.5%至105.23，沪金跌0.75%至545.68元/克，沪银跌2.11%至7645元/千克。美国5月PPI同比增2.2%，低于预期的2.5%，前值2.2%；5月PPI环比下降0.2%，为2023年10月以来新低，预期增0.1%，前值增0.5%；核心PPI环比保持不变，预期为上涨0.3%。美联储点阵图下调降息预期，贵金属价格小幅承压，目前海外市场仍定价年内2次降息，后续仍需持续跟踪美国通胀及经济表现，期价短线或窄幅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557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58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碳酸锂：欧盟对华加征电动汽车关税，期价小幅上涨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偏强运行，07合约收涨1.14%至97800元/吨。据路透社消息，欧盟宣布将对从中国进口的电动汽车最高加征38.1%的额外关税，若欧盟无法与中方通过谈判达成解决方案，征收临时关税的举措将从7月4日起生效。具体而言，欧盟计划对比亚迪加征17.4%的关税，对吉利汽车加征20%的关税，对上汽集团加征38.1%的关税，其他公司视是否“配合调查”情况将被加征21%或38.1%的关税。加征关税事件本身或部分抑制新能源车需求释放，但由于此次加征关税仅针对纯电电动车，且加征幅度略低于此前市场预期，难以阻碍国内整车厂商出海布局，预计对于锂电总体需求影响不大。澳大利亚黑德兰港口5月出口锂辉石精矿132088吨，4月前值62515吨；其中，5月向中国出口锂辉石精矿106088吨，4月前值51550吨。近期主力移仓换月，仓单量维持高位或对盘面带来一定压力，07合约减仓8367手，期价短期内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368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铝价区间震荡择向</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议息维持高利率，表示通胀压力减轻但依然偏高，5月CPI数据低于预期，年内预期联储降息次数减少，宏观情绪支撑走弱。基本面上看，铝土矿短期内维持偏紧格局难以扭转，中游冶炼保持高产，下游需求进入淡季表现趋弱，库存进入传统累库阶段，海外未锻造铝材出口需求旺盛，铝价上下有限，区间震荡为主，观望淡季供需变化情况，参考震荡区间20500-21500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6085"/>
      <w:r>
        <w:rPr>
          <w:rFonts w:hint="eastAsia" w:ascii="楷体" w:hAnsi="楷体" w:eastAsia="楷体"/>
          <w:b/>
          <w:color w:val="000000" w:themeColor="text1"/>
          <w:sz w:val="24"/>
          <w:szCs w:val="24"/>
          <w14:textFill>
            <w14:solidFill>
              <w14:schemeClr w14:val="tx1"/>
            </w14:solidFill>
          </w14:textFill>
        </w:rPr>
        <w:t>锌：锌价回调盘整震荡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年内降息乐观预期修正，近期宏观情绪扰动，支撑有限。上游供应紧张逻辑延续，TC加工费低位，锌矿成本提供价格强支撑，进口窗口持续关闭，5月精炼锌产量环比走增，主因前期减停产能复产，近期锌价走弱带动下游备库，库存高位去库加速，转入淡季后预期供需两端边际走弱，锌价回调盘整震荡，参考区间23500-24500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329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：短期偏震荡为主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(1)库存：6月13日，SHFE仓单库存268889吨，增7691吨；LME仓单库存132075吨，增4650吨。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(2)精废价差：6月13日，Mysteel精废价差1748，扩张419。目前价差在合理价差1493之上。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伴随海外重要经济数据及议息会议的结束，市场情绪回到相对冷静阶段。基本面，现货市场贴水持续收窄，下游逢低刚需采购，对铜价有一定支撑作用，但当前整体供需仍处于相对过剩状态，价格反弹动力受限，预计价格偏震荡运行为主，参考7.8-8.2万。</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764"/>
      <w:r>
        <w:rPr>
          <w:rFonts w:hint="eastAsia" w:ascii="楷体" w:hAnsi="楷体" w:eastAsia="楷体"/>
          <w:b/>
          <w:color w:val="000000" w:themeColor="text1"/>
          <w:sz w:val="24"/>
          <w:szCs w:val="24"/>
          <w14:textFill>
            <w14:solidFill>
              <w14:schemeClr w14:val="tx1"/>
            </w14:solidFill>
          </w14:textFill>
        </w:rPr>
        <w:t>镍：宏观利多情绪褪去，镍价逢高沽空为主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会议下调今年降息次数至1次，美国5月CPI及PPI数据皆低于预期，整体而言本轮有色板块宏观利多情绪逐渐褪去。原料方面，印尼已发放未来三年约2.4亿吨的镍矿石年度生产配额，印尼镍矿供应紧张问题有所缓和，镍成本端支撑减弱。供需方面，全球镍市过剩格局有所收窄，但国内精炼镍产能持续释放，维持显著过剩格局，5月我国三元材料减产20%，预计新能源汽车领域对镍需求疲软。库存方面，海内外累库趋势持续。综合而言，近日宏观利多情绪和做多资金逐渐退潮，基本面偏弱及印尼矿端供应缓解情况下，镍价缺乏上行驱动，关注逢高沽空机会。</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3522"/>
      <w:r>
        <w:rPr>
          <w:rFonts w:hint="eastAsia" w:ascii="楷体" w:hAnsi="楷体" w:eastAsia="楷体"/>
          <w:b/>
          <w:color w:val="000000" w:themeColor="text1"/>
          <w:sz w:val="24"/>
          <w:szCs w:val="24"/>
          <w14:textFill>
            <w14:solidFill>
              <w14:schemeClr w14:val="tx1"/>
            </w14:solidFill>
          </w14:textFill>
        </w:rPr>
        <w:t>不锈钢：供需压力犹存，价格或窄幅震荡偏弱</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面，印尼矿产部表示政府考虑终止部分RKEF镍冶炼厂的生产许可证，但由于印尼曾几次宣称考虑此事，且暂未落地举措，市场对此情绪反映有限；上周五印尼能源与矿业资源部部长表示印尼已发放未来三年约2.4亿吨的镍矿石年度生产配额，不锈钢成本端支撑减弱。镍铁方面，近日高镍铁采购成交价980-985元/镍（到厂含税），较5月底采购价有所下调。供需方面，不锈钢粗钢排产维持高位水平，然而下游成交氛围偏淡。库存方面，社库维持累库，仓单库存累至18.7万吨。综合而言，随着美联储降息预期和制造业复苏预期的乐观情绪降温，期价或逐渐回归基本面，不锈钢下游需求未有起色，仓单库存历史高位，预计价格或窄幅震荡偏弱。</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402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宏观情绪反复，短期进一步下跌或有限</w:t>
      </w:r>
      <w:bookmarkEnd w:id="25"/>
    </w:p>
    <w:p>
      <w:pPr>
        <w:ind w:left="630" w:leftChars="300"/>
        <w:rPr>
          <w:rFonts w:ascii="楷体" w:hAnsi="楷体" w:eastAsia="楷体"/>
          <w:sz w:val="24"/>
          <w:szCs w:val="24"/>
        </w:rPr>
      </w:pPr>
      <w:r>
        <w:rPr>
          <w:rFonts w:hint="eastAsia" w:ascii="楷体" w:hAnsi="楷体" w:eastAsia="楷体"/>
          <w:sz w:val="24"/>
          <w:szCs w:val="24"/>
        </w:rPr>
        <w:t>6月13日，Si2409主力合约呈震荡走势，收盘价12160元/吨，较上一收盘价涨跌幅-0.16%。从宏观面来看，近期降息预期反复波折，周内美国5月CPI全面弱于预期，美联储最新“点阵图”暗示年内或有一次降息，明后两年各降100基点，或对大宗商品构成一定支撑。从基本面来看，西南产区陆续推进季节性复产，北方产区维持高开工，后续供应或将逐步增加。据硅业分会消息，周内有15家多晶硅生产企业实施检修，整体对工业硅需求减少，但硅片签单量有所恢复，在减产情况下，多晶硅累库有望放缓，需求悲观预期或存在边际改善。整体而言，基本面依旧处于宽松格局，但需求极度悲观预期或存在边际改善，叠加宏观情绪再度有所好转，短期盘面进一步大幅下跌空间或有限。策略上，前期空单可阶段性逐步逢低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544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957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全钢胎表现较弱 天胶有所回落</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近期泰国主产区天气仍有扰动，导致新胶产出量较少，泰国宋卡地区原料价格止跌回升，给予盘面较强底部支撑。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表现坚挺，仍处于偏强水平，对胶价存底部支撑明显。但节后归来橡胶因短线涨幅过大、以及全钢胎大范围检修而冲高回落。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1182"/>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9063"/>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现货价格有所好转，期市或维持宽幅震荡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盘面上看，玻璃昨日夜盘收于1668元/吨，连续两天高位回落。总体来看，价格维持于1637至1767元区间震荡。</w:t>
      </w:r>
    </w:p>
    <w:p>
      <w:pPr>
        <w:ind w:left="630" w:leftChars="300"/>
        <w:rPr>
          <w:rFonts w:hint="eastAsia" w:ascii="楷体" w:hAnsi="楷体" w:eastAsia="楷体"/>
          <w:sz w:val="24"/>
          <w:szCs w:val="24"/>
        </w:rPr>
      </w:pPr>
      <w:r>
        <w:rPr>
          <w:rFonts w:hint="eastAsia" w:ascii="楷体" w:hAnsi="楷体" w:eastAsia="楷体"/>
          <w:sz w:val="24"/>
          <w:szCs w:val="24"/>
        </w:rPr>
        <w:t>现货方面，华北地区总体调涨，浮法玻璃价格较节前上调10元/吨。</w:t>
      </w:r>
    </w:p>
    <w:p>
      <w:pPr>
        <w:ind w:left="630" w:leftChars="300"/>
        <w:rPr>
          <w:rFonts w:hint="eastAsia" w:ascii="楷体" w:hAnsi="楷体" w:eastAsia="楷体"/>
          <w:sz w:val="24"/>
          <w:szCs w:val="24"/>
        </w:rPr>
      </w:pPr>
      <w:r>
        <w:rPr>
          <w:rFonts w:hint="eastAsia" w:ascii="楷体" w:hAnsi="楷体" w:eastAsia="楷体"/>
          <w:sz w:val="24"/>
          <w:szCs w:val="24"/>
        </w:rPr>
        <w:t>宏观方面，5月17日由国务院带头发起对于房地产烂尾楼解决方案的讨论，保交房决心提振市场信心。</w:t>
      </w:r>
    </w:p>
    <w:p>
      <w:pPr>
        <w:ind w:left="630" w:leftChars="300"/>
        <w:rPr>
          <w:rFonts w:hint="eastAsia" w:ascii="楷体" w:hAnsi="楷体" w:eastAsia="楷体"/>
          <w:sz w:val="24"/>
          <w:szCs w:val="24"/>
        </w:rPr>
      </w:pPr>
      <w:r>
        <w:rPr>
          <w:rFonts w:hint="eastAsia" w:ascii="楷体" w:hAnsi="楷体" w:eastAsia="楷体"/>
          <w:sz w:val="24"/>
          <w:szCs w:val="24"/>
        </w:rPr>
        <w:t>供给端方面，五-六月冷修产线会逐步提升，供给下滑，叠加华南地区部份企业利润较低而搬迁，影响供应。需求端5月中深加工订单天数环比基本持平。</w:t>
      </w:r>
    </w:p>
    <w:p>
      <w:pPr>
        <w:ind w:left="630" w:leftChars="300"/>
        <w:rPr>
          <w:rFonts w:hint="eastAsia" w:ascii="楷体" w:hAnsi="楷体" w:eastAsia="楷体"/>
          <w:sz w:val="24"/>
          <w:szCs w:val="24"/>
        </w:rPr>
      </w:pPr>
      <w:r>
        <w:rPr>
          <w:rFonts w:hint="eastAsia" w:ascii="楷体" w:hAnsi="楷体" w:eastAsia="楷体"/>
          <w:sz w:val="24"/>
          <w:szCs w:val="24"/>
        </w:rPr>
        <w:t>现货供需有所好转，近日出现反弹，叠加政策预期逻辑仍存，短期内预计期价宽幅震荡。</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24016"/>
      <w:r>
        <w:rPr>
          <w:rFonts w:hint="eastAsia" w:ascii="Times New Roman" w:hAnsi="Times New Roman" w:eastAsia="楷体"/>
          <w:b/>
          <w:color w:val="000000" w:themeColor="text1"/>
          <w:sz w:val="24"/>
          <w:szCs w:val="24"/>
          <w14:textFill>
            <w14:solidFill>
              <w14:schemeClr w14:val="tx1"/>
            </w14:solidFill>
          </w14:textFill>
        </w:rPr>
        <w:t>纯碱：静待供需平衡到来，期货或继续弱震荡</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现货来看，本日国内纯碱价格窄幅回落，截至目前，华南地区轻质纯碱价格在2400-2450元/吨，重质纯碱价格在2500-2600元/吨；但华东与华中地区出现50-100幅度的回落。随着前期检修企业恢复生产，纯碱供应将有所增加；下游需求仍维持偏弱，碱厂新增订单有限。</w:t>
      </w:r>
    </w:p>
    <w:p>
      <w:pPr>
        <w:ind w:left="630" w:leftChars="300"/>
        <w:rPr>
          <w:rFonts w:hint="eastAsia" w:ascii="楷体" w:hAnsi="楷体" w:eastAsia="楷体"/>
          <w:sz w:val="24"/>
          <w:szCs w:val="24"/>
        </w:rPr>
      </w:pPr>
      <w:r>
        <w:rPr>
          <w:rFonts w:hint="eastAsia" w:ascii="楷体" w:hAnsi="楷体" w:eastAsia="楷体"/>
          <w:sz w:val="24"/>
          <w:szCs w:val="24"/>
        </w:rPr>
        <w:t>消息面来看，尽管行业协会传出了稳定高价的消息，试图提振市场信心，但市场反应却相对冷淡，投资者对未来市场前景持谨慎态度。</w:t>
      </w:r>
    </w:p>
    <w:p>
      <w:pPr>
        <w:ind w:left="630" w:leftChars="300"/>
        <w:rPr>
          <w:rFonts w:hint="eastAsia" w:ascii="楷体" w:hAnsi="楷体" w:eastAsia="楷体"/>
          <w:sz w:val="24"/>
          <w:szCs w:val="24"/>
        </w:rPr>
      </w:pPr>
      <w:r>
        <w:rPr>
          <w:rFonts w:hint="eastAsia" w:ascii="楷体" w:hAnsi="楷体" w:eastAsia="楷体"/>
          <w:sz w:val="24"/>
          <w:szCs w:val="24"/>
        </w:rPr>
        <w:t>基本面来看，供应端主要生产企业如远兴能源保持较高的生产水平，特别是阿拉善天然碱项目一期和二期的持续推进，进一步增加了市场供应量。本周装置小幅波动，产量环比下降。纯碱利润高位维持下，部分厂家生产相对稳定。尽管季节性检修仍在进行，但整体供应量依然充足，未能有效缓解市场压力。</w:t>
      </w:r>
    </w:p>
    <w:p>
      <w:pPr>
        <w:ind w:left="630" w:leftChars="300"/>
        <w:rPr>
          <w:rFonts w:hint="eastAsia" w:ascii="楷体" w:hAnsi="楷体" w:eastAsia="楷体"/>
          <w:sz w:val="24"/>
          <w:szCs w:val="24"/>
        </w:rPr>
      </w:pPr>
      <w:r>
        <w:rPr>
          <w:rFonts w:hint="eastAsia" w:ascii="楷体" w:hAnsi="楷体" w:eastAsia="楷体"/>
          <w:sz w:val="24"/>
          <w:szCs w:val="24"/>
        </w:rPr>
        <w:t>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w:t>
      </w:r>
    </w:p>
    <w:p>
      <w:pPr>
        <w:ind w:left="630" w:leftChars="300"/>
        <w:rPr>
          <w:rFonts w:ascii="楷体" w:hAnsi="楷体" w:eastAsia="楷体"/>
          <w:sz w:val="24"/>
          <w:szCs w:val="24"/>
        </w:rPr>
      </w:pPr>
      <w:r>
        <w:rPr>
          <w:rFonts w:hint="eastAsia" w:ascii="楷体" w:hAnsi="楷体" w:eastAsia="楷体"/>
          <w:sz w:val="24"/>
          <w:szCs w:val="24"/>
        </w:rPr>
        <w:t>纯碱供应仍然偏宽松，未来仍需耐心等待供需平衡点到来，期货市场或维持偏弱震荡。</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6291"/>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120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夜盘淀粉表现强于玉米</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那么在当前期现货水平下陈稻即使抛储亦不能带来实质供应；而新作小麦层面则一方面产量不及预期，另一方面国家启动增储收购，这有望使得小麦饲用替代量受限，因此，我们倾向于认为国内玉米存在产需缺口。当然，考虑到当前期价更贴近北方港口甚至东北产区现货价格，仍需要现货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震荡运行，因各方面影响因素仍存在较大不确定性，但预计接下来淀粉-玉米价差有望阶段性走扩，主要原因有三，其一是淀粉副产品价格依然疲弱，其二是接下来淀粉季节性需求旺季到来有望带动行业供需趋于改善，其三是原料端特别是华北-东北玉米价差或在小麦止跌后逐步走扩。综上所述，我们维持谨慎看多观点，建议前期多单可以考虑继续持有，同时可以考虑做扩淀粉-玉米价差。</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8861"/>
      <w:r>
        <w:rPr>
          <w:rFonts w:hint="eastAsia" w:ascii="楷体" w:hAnsi="楷体" w:eastAsia="楷体"/>
          <w:b/>
          <w:bCs/>
          <w:color w:val="000000" w:themeColor="text1"/>
          <w14:textFill>
            <w14:solidFill>
              <w14:schemeClr w14:val="tx1"/>
            </w14:solidFill>
          </w14:textFill>
        </w:rPr>
        <w:t>畜禽养殖：生猪现货带动期价大幅回落</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减弱，这体现在远月期价贴水现货上。而近期市场反映养殖户有压栏情况且二次育肥积极入场，导致出栏量持续环比下降，宰后均重上升，现货表现强势，但市场担心供应后移其实不利于后期期现货表现，甚至担心端午节需求释放之后现货或出现回落，这体现在近月期价相对弱势上。在这种情况下，考虑到目前期价均贴水现货，接下来需要特别留意现货走势，因市场将据此判断生猪市场供需预期。在我们看来，如接下来养殖户出栏加快，带动出栏均重和宰后均重下滑，反而有利于下半年猪价上涨。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目前基差继续处于历史同期高位，如果现货在接下来的淡季表现抗跌，则可能带来市场对供需预期的变化。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31843"/>
      <w:r>
        <w:rPr>
          <w:rFonts w:hint="eastAsia" w:ascii="楷体" w:hAnsi="楷体" w:eastAsia="楷体"/>
          <w:b/>
          <w:bCs/>
          <w:color w:val="000000" w:themeColor="text1"/>
          <w14:textFill>
            <w14:solidFill>
              <w14:schemeClr w14:val="tx1"/>
            </w14:solidFill>
          </w14:textFill>
        </w:rPr>
        <w:t>白糖：巴西干旱推动国际糖价</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原糖主力合约和白砂糖主力合约分别上涨2.73%和2.11%，糖价持续反弹。巴西干旱天气对产量造成扰动，促使糖价连续上涨。但各机构观点整合，24/25榨季食糖预计少量过剩。尽管天气有不利影响，但考虑制糖比的调节，巴西本年度产量仍可能过剩。国内昨日夜盘白糖主力合约为跟随外盘变动，下跌0.21%。国内5月关税配额外原糖实际到港0.39万吨，下月预报到港5.58万吨，配额外进口窗口打开，对国内糖价有进一步压制。但国内食糖市场逐渐进入纯销售季和传统消费旺季，终端用糖企业采购积极性提升，且工业库存偏低，对糖价有一定的支撑作用。预计期价震荡运行，暂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7092"/>
      <w:r>
        <w:rPr>
          <w:rFonts w:hint="eastAsia" w:ascii="楷体" w:hAnsi="楷体" w:eastAsia="楷体"/>
          <w:b/>
          <w:bCs/>
          <w:color w:val="000000" w:themeColor="text1"/>
          <w14:textFill>
            <w14:solidFill>
              <w14:schemeClr w14:val="tx1"/>
            </w14:solidFill>
          </w14:textFill>
        </w:rPr>
        <w:t>棉花：出口数据提振美棉，郑棉无支撑依旧下跌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上涨0.25%，但多日来看依旧是震荡下行。昨日期棉收高主要是因为出口数据提振。6月6日当周，美国出口销售相较于上周增加28%，下一年度棉花销售净增17.74万包。巴西方面，Conab上调23/24产量为365.71万吨，同比增长15.2%，供应大幅增加。国内昨日夜盘棉花、棉纱主力合约分别下跌0.34%和0.24%。目前基本面暂未有较大变化，供需宽松格局预期仍存，使得盘面上行动力不足，在无明显因素指引下，棉价破位后仍有下行压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165"/>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8951"/>
      <w:r>
        <w:rPr>
          <w:rFonts w:hint="eastAsia" w:ascii="Times New Roman" w:hAnsi="Times New Roman" w:eastAsia="楷体"/>
          <w:b/>
          <w:color w:val="000000" w:themeColor="text1"/>
          <w:sz w:val="24"/>
          <w:szCs w:val="24"/>
          <w14:textFill>
            <w14:solidFill>
              <w14:schemeClr w14:val="tx1"/>
            </w14:solidFill>
          </w14:textFill>
        </w:rPr>
        <w:t>集运指数（欧线）： SCFI涨幅放缓， EC合约大幅高位回落</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现货方面，6月7日，上海港出口至欧洲基本港市场运价（SCFI欧线）为3949美元/TEU，较上期上涨5.6%。</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供应端来看，短期船舶运力供应持续偏紧。巴以冲突和红海绕行导致市场舱位和集装箱短缺，亚欧航线供需紧张，马士基称运力损失达15-20%，近日停航和空班情况更加剧。</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由于供应短缺与地缘紧张因素，多头情绪强烈，EC合约集体创新高，远月合约尤为强势。节后受上周五SCFI欧线涨幅放缓影响，做多情绪冷却，叠加多头获利平仓，因此出现明显高位回调。短期EC价格高位波动，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2779"/>
      <w:bookmarkStart w:id="41" w:name="_Toc98426751"/>
      <w:bookmarkStart w:id="42" w:name="_Toc19667"/>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2024年6月14日星期五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271764"/>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2024-06-14T01:45:52Z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