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2" w:name="_GoBack"/>
          <w:bookmarkEnd w:id="4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_Toc9312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_Toc11520 </w:instrText>
          </w:r>
          <w:r>
            <w:rPr>
              <w:bCs/>
            </w:rPr>
            <w:fldChar w:fldCharType="separate"/>
          </w:r>
          <w:r>
            <w:rPr>
              <w:rFonts w:hint="eastAsia" w:ascii="Times New Roman" w:hAnsi="Times New Roman" w:eastAsia="楷体"/>
              <w:szCs w:val="24"/>
            </w:rPr>
            <w:t>股指：维持震荡调整判断</w:t>
          </w:r>
          <w:r>
            <w:rPr>
              <w:bCs/>
            </w:rPr>
            <w:fldChar w:fldCharType="end"/>
          </w:r>
        </w:p>
        <w:p>
          <w:pPr>
            <w:pStyle w:val="59"/>
            <w:tabs>
              <w:tab w:val="right" w:leader="dot" w:pos="8306"/>
            </w:tabs>
          </w:pPr>
          <w:r>
            <w:rPr>
              <w:bCs/>
            </w:rPr>
            <w:fldChar w:fldCharType="begin"/>
          </w:r>
          <w:r>
            <w:rPr>
              <w:bCs/>
            </w:rPr>
            <w:instrText xml:space="preserve"> HYPERLINK \l _Toc18746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_Toc32300 </w:instrText>
          </w:r>
          <w:r>
            <w:rPr>
              <w:bCs/>
            </w:rPr>
            <w:fldChar w:fldCharType="separate"/>
          </w:r>
          <w:r>
            <w:rPr>
              <w:rFonts w:hint="eastAsia" w:ascii="Times New Roman" w:hAnsi="Times New Roman" w:eastAsia="楷体"/>
              <w:szCs w:val="24"/>
            </w:rPr>
            <w:t>贵金属：美国第一季度GDP小幅下修，贵金属价格下跌</w:t>
          </w:r>
          <w:r>
            <w:rPr>
              <w:bCs/>
            </w:rPr>
            <w:fldChar w:fldCharType="end"/>
          </w:r>
        </w:p>
        <w:p>
          <w:pPr>
            <w:pStyle w:val="59"/>
            <w:tabs>
              <w:tab w:val="right" w:leader="dot" w:pos="8306"/>
            </w:tabs>
          </w:pPr>
          <w:r>
            <w:rPr>
              <w:bCs/>
            </w:rPr>
            <w:fldChar w:fldCharType="begin"/>
          </w:r>
          <w:r>
            <w:rPr>
              <w:bCs/>
            </w:rPr>
            <w:instrText xml:space="preserve"> HYPERLINK \l _Toc32419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_Toc10954 </w:instrText>
          </w:r>
          <w:r>
            <w:rPr>
              <w:bCs/>
            </w:rPr>
            <w:fldChar w:fldCharType="separate"/>
          </w:r>
          <w:r>
            <w:rPr>
              <w:rFonts w:hint="eastAsia" w:ascii="楷体" w:hAnsi="楷体" w:eastAsia="楷体"/>
              <w:szCs w:val="24"/>
            </w:rPr>
            <w:t>碳酸锂：节能降碳行动方案发布，期价小幅上涨</w:t>
          </w:r>
          <w:r>
            <w:rPr>
              <w:bCs/>
            </w:rPr>
            <w:fldChar w:fldCharType="end"/>
          </w:r>
        </w:p>
        <w:p>
          <w:pPr>
            <w:pStyle w:val="74"/>
            <w:tabs>
              <w:tab w:val="right" w:leader="dot" w:pos="8306"/>
            </w:tabs>
          </w:pPr>
          <w:r>
            <w:rPr>
              <w:bCs/>
            </w:rPr>
            <w:fldChar w:fldCharType="begin"/>
          </w:r>
          <w:r>
            <w:rPr>
              <w:bCs/>
            </w:rPr>
            <w:instrText xml:space="preserve"> HYPERLINK \l _Toc15201 </w:instrText>
          </w:r>
          <w:r>
            <w:rPr>
              <w:bCs/>
            </w:rPr>
            <w:fldChar w:fldCharType="separate"/>
          </w:r>
          <w:r>
            <w:rPr>
              <w:rFonts w:hint="eastAsia" w:ascii="楷体" w:hAnsi="楷体" w:eastAsia="楷体"/>
              <w:szCs w:val="24"/>
            </w:rPr>
            <w:t>铝：铝价承压回调，观望21000支撑</w:t>
          </w:r>
          <w:r>
            <w:rPr>
              <w:bCs/>
            </w:rPr>
            <w:fldChar w:fldCharType="end"/>
          </w:r>
        </w:p>
        <w:p>
          <w:pPr>
            <w:pStyle w:val="74"/>
            <w:tabs>
              <w:tab w:val="right" w:leader="dot" w:pos="8306"/>
            </w:tabs>
          </w:pPr>
          <w:r>
            <w:rPr>
              <w:bCs/>
            </w:rPr>
            <w:fldChar w:fldCharType="begin"/>
          </w:r>
          <w:r>
            <w:rPr>
              <w:bCs/>
            </w:rPr>
            <w:instrText xml:space="preserve"> HYPERLINK \l _Toc12647 </w:instrText>
          </w:r>
          <w:r>
            <w:rPr>
              <w:bCs/>
            </w:rPr>
            <w:fldChar w:fldCharType="separate"/>
          </w:r>
          <w:r>
            <w:rPr>
              <w:rFonts w:hint="eastAsia" w:ascii="楷体" w:hAnsi="楷体" w:eastAsia="楷体"/>
              <w:szCs w:val="24"/>
            </w:rPr>
            <w:t>锌：锌价向上突破仍有压力</w:t>
          </w:r>
          <w:r>
            <w:rPr>
              <w:bCs/>
            </w:rPr>
            <w:fldChar w:fldCharType="end"/>
          </w:r>
        </w:p>
        <w:p>
          <w:pPr>
            <w:pStyle w:val="74"/>
            <w:tabs>
              <w:tab w:val="right" w:leader="dot" w:pos="8306"/>
            </w:tabs>
          </w:pPr>
          <w:r>
            <w:rPr>
              <w:bCs/>
            </w:rPr>
            <w:fldChar w:fldCharType="begin"/>
          </w:r>
          <w:r>
            <w:rPr>
              <w:bCs/>
            </w:rPr>
            <w:instrText xml:space="preserve"> HYPERLINK \l _Toc25386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：国内库存压力继续攀升，铜价回落</w:t>
          </w:r>
          <w:r>
            <w:rPr>
              <w:bCs/>
            </w:rPr>
            <w:fldChar w:fldCharType="end"/>
          </w:r>
        </w:p>
        <w:p>
          <w:pPr>
            <w:pStyle w:val="74"/>
            <w:tabs>
              <w:tab w:val="right" w:leader="dot" w:pos="8306"/>
            </w:tabs>
          </w:pPr>
          <w:r>
            <w:rPr>
              <w:bCs/>
            </w:rPr>
            <w:fldChar w:fldCharType="begin"/>
          </w:r>
          <w:r>
            <w:rPr>
              <w:bCs/>
            </w:rPr>
            <w:instrText xml:space="preserve"> HYPERLINK \l _Toc12497 </w:instrText>
          </w:r>
          <w:r>
            <w:rPr>
              <w:bCs/>
            </w:rPr>
            <w:fldChar w:fldCharType="separate"/>
          </w:r>
          <w:r>
            <w:rPr>
              <w:rFonts w:hint="eastAsia" w:ascii="楷体" w:hAnsi="楷体" w:eastAsia="楷体"/>
              <w:szCs w:val="24"/>
            </w:rPr>
            <w:t>镍：宏观情绪驱动，底部成本支撑较强</w:t>
          </w:r>
          <w:r>
            <w:rPr>
              <w:bCs/>
            </w:rPr>
            <w:fldChar w:fldCharType="end"/>
          </w:r>
        </w:p>
        <w:p>
          <w:pPr>
            <w:pStyle w:val="74"/>
            <w:tabs>
              <w:tab w:val="right" w:leader="dot" w:pos="8306"/>
            </w:tabs>
          </w:pPr>
          <w:r>
            <w:rPr>
              <w:bCs/>
            </w:rPr>
            <w:fldChar w:fldCharType="begin"/>
          </w:r>
          <w:r>
            <w:rPr>
              <w:bCs/>
            </w:rPr>
            <w:instrText xml:space="preserve"> HYPERLINK \l _Toc951 </w:instrText>
          </w:r>
          <w:r>
            <w:rPr>
              <w:bCs/>
            </w:rPr>
            <w:fldChar w:fldCharType="separate"/>
          </w:r>
          <w:r>
            <w:rPr>
              <w:rFonts w:hint="eastAsia" w:ascii="楷体" w:hAnsi="楷体" w:eastAsia="楷体"/>
              <w:szCs w:val="24"/>
            </w:rPr>
            <w:t>不锈钢：上下驱动有限，关注低多机会</w:t>
          </w:r>
          <w:r>
            <w:rPr>
              <w:bCs/>
            </w:rPr>
            <w:fldChar w:fldCharType="end"/>
          </w:r>
        </w:p>
        <w:p>
          <w:pPr>
            <w:pStyle w:val="74"/>
            <w:tabs>
              <w:tab w:val="right" w:leader="dot" w:pos="8306"/>
            </w:tabs>
          </w:pPr>
          <w:r>
            <w:rPr>
              <w:bCs/>
            </w:rPr>
            <w:fldChar w:fldCharType="begin"/>
          </w:r>
          <w:r>
            <w:rPr>
              <w:bCs/>
            </w:rPr>
            <w:instrText xml:space="preserve"> HYPERLINK \l _Toc26979 </w:instrText>
          </w:r>
          <w:r>
            <w:rPr>
              <w:bCs/>
            </w:rPr>
            <w:fldChar w:fldCharType="separate"/>
          </w:r>
          <w:r>
            <w:rPr>
              <w:rFonts w:hint="eastAsia" w:ascii="楷体" w:hAnsi="楷体" w:eastAsia="楷体"/>
              <w:szCs w:val="24"/>
            </w:rPr>
            <w:t>工业硅：多空博弈加剧，盘面再度反弹</w:t>
          </w:r>
          <w:r>
            <w:rPr>
              <w:bCs/>
            </w:rPr>
            <w:fldChar w:fldCharType="end"/>
          </w:r>
        </w:p>
        <w:p>
          <w:pPr>
            <w:pStyle w:val="59"/>
            <w:tabs>
              <w:tab w:val="right" w:leader="dot" w:pos="8306"/>
            </w:tabs>
          </w:pPr>
          <w:r>
            <w:rPr>
              <w:bCs/>
            </w:rPr>
            <w:fldChar w:fldCharType="begin"/>
          </w:r>
          <w:r>
            <w:rPr>
              <w:bCs/>
            </w:rPr>
            <w:instrText xml:space="preserve"> HYPERLINK \l _Toc10104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_Toc16733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主产区逐渐步入旺季 胶价上方压力仍存</w:t>
          </w:r>
          <w:r>
            <w:rPr>
              <w:bCs/>
            </w:rPr>
            <w:fldChar w:fldCharType="end"/>
          </w:r>
        </w:p>
        <w:p>
          <w:pPr>
            <w:pStyle w:val="74"/>
            <w:tabs>
              <w:tab w:val="right" w:leader="dot" w:pos="8306"/>
            </w:tabs>
          </w:pPr>
          <w:r>
            <w:rPr>
              <w:bCs/>
            </w:rPr>
            <w:fldChar w:fldCharType="begin"/>
          </w:r>
          <w:r>
            <w:rPr>
              <w:bCs/>
            </w:rPr>
            <w:instrText xml:space="preserve"> HYPERLINK \l _Toc21235 </w:instrText>
          </w:r>
          <w:r>
            <w:rPr>
              <w:bCs/>
            </w:rPr>
            <w:fldChar w:fldCharType="separate"/>
          </w:r>
          <w:r>
            <w:rPr>
              <w:rFonts w:hint="eastAsia" w:ascii="Times New Roman" w:hAnsi="Times New Roman" w:eastAsia="楷体"/>
              <w:szCs w:val="24"/>
            </w:rPr>
            <w:t>聚烯烃：需求存向下预期 聚烯烃谨防高位回调</w:t>
          </w:r>
          <w:r>
            <w:rPr>
              <w:bCs/>
            </w:rPr>
            <w:fldChar w:fldCharType="end"/>
          </w:r>
        </w:p>
        <w:p>
          <w:pPr>
            <w:pStyle w:val="59"/>
            <w:tabs>
              <w:tab w:val="right" w:leader="dot" w:pos="8306"/>
            </w:tabs>
          </w:pPr>
          <w:r>
            <w:rPr>
              <w:bCs/>
            </w:rPr>
            <w:fldChar w:fldCharType="begin"/>
          </w:r>
          <w:r>
            <w:rPr>
              <w:bCs/>
            </w:rPr>
            <w:instrText xml:space="preserve"> HYPERLINK \l _Toc11600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_Toc10771 </w:instrText>
          </w:r>
          <w:r>
            <w:rPr>
              <w:bCs/>
            </w:rPr>
            <w:fldChar w:fldCharType="separate"/>
          </w:r>
          <w:r>
            <w:rPr>
              <w:rFonts w:hint="eastAsia" w:ascii="楷体" w:hAnsi="楷体" w:eastAsia="楷体"/>
              <w:bCs/>
            </w:rPr>
            <w:t>玉米与淀粉：</w:t>
          </w:r>
          <w:r>
            <w:rPr>
              <w:rFonts w:hint="eastAsia" w:ascii="楷体" w:hAnsi="楷体" w:eastAsia="楷体"/>
            </w:rPr>
            <w:t>期价弱势未改</w:t>
          </w:r>
          <w:r>
            <w:rPr>
              <w:bCs/>
            </w:rPr>
            <w:fldChar w:fldCharType="end"/>
          </w:r>
        </w:p>
        <w:p>
          <w:pPr>
            <w:pStyle w:val="74"/>
            <w:tabs>
              <w:tab w:val="right" w:leader="dot" w:pos="8306"/>
            </w:tabs>
          </w:pPr>
          <w:r>
            <w:rPr>
              <w:bCs/>
            </w:rPr>
            <w:fldChar w:fldCharType="begin"/>
          </w:r>
          <w:r>
            <w:rPr>
              <w:bCs/>
            </w:rPr>
            <w:instrText xml:space="preserve"> HYPERLINK \l _Toc9386 </w:instrText>
          </w:r>
          <w:r>
            <w:rPr>
              <w:bCs/>
            </w:rPr>
            <w:fldChar w:fldCharType="separate"/>
          </w:r>
          <w:r>
            <w:rPr>
              <w:rFonts w:hint="eastAsia" w:ascii="楷体" w:hAnsi="楷体" w:eastAsia="楷体"/>
              <w:bCs/>
            </w:rPr>
            <w:t>畜禽养殖：现货弱势之下期价窄幅震荡运行</w:t>
          </w:r>
          <w:r>
            <w:rPr>
              <w:bCs/>
            </w:rPr>
            <w:fldChar w:fldCharType="end"/>
          </w:r>
        </w:p>
        <w:p>
          <w:pPr>
            <w:pStyle w:val="74"/>
            <w:tabs>
              <w:tab w:val="right" w:leader="dot" w:pos="8306"/>
            </w:tabs>
          </w:pPr>
          <w:r>
            <w:rPr>
              <w:bCs/>
            </w:rPr>
            <w:fldChar w:fldCharType="begin"/>
          </w:r>
          <w:r>
            <w:rPr>
              <w:bCs/>
            </w:rPr>
            <w:instrText xml:space="preserve"> HYPERLINK \l _Toc25840 </w:instrText>
          </w:r>
          <w:r>
            <w:rPr>
              <w:bCs/>
            </w:rPr>
            <w:fldChar w:fldCharType="separate"/>
          </w:r>
          <w:r>
            <w:rPr>
              <w:rFonts w:hint="eastAsia" w:ascii="楷体" w:hAnsi="楷体" w:eastAsia="楷体"/>
              <w:bCs/>
            </w:rPr>
            <w:t>白糖：郑糖小幅上涨，但长期弱势运行不改</w:t>
          </w:r>
          <w:r>
            <w:rPr>
              <w:bCs/>
            </w:rPr>
            <w:fldChar w:fldCharType="end"/>
          </w:r>
        </w:p>
        <w:p>
          <w:pPr>
            <w:pStyle w:val="74"/>
            <w:tabs>
              <w:tab w:val="right" w:leader="dot" w:pos="8306"/>
            </w:tabs>
          </w:pPr>
          <w:r>
            <w:rPr>
              <w:bCs/>
            </w:rPr>
            <w:fldChar w:fldCharType="begin"/>
          </w:r>
          <w:r>
            <w:rPr>
              <w:bCs/>
            </w:rPr>
            <w:instrText xml:space="preserve"> HYPERLINK \l _Toc19431 </w:instrText>
          </w:r>
          <w:r>
            <w:rPr>
              <w:bCs/>
            </w:rPr>
            <w:fldChar w:fldCharType="separate"/>
          </w:r>
          <w:r>
            <w:rPr>
              <w:rFonts w:hint="eastAsia" w:ascii="楷体" w:hAnsi="楷体" w:eastAsia="楷体"/>
              <w:bCs/>
            </w:rPr>
            <w:t>棉花：国内需求疲弱，期价再度下跌</w:t>
          </w:r>
          <w:r>
            <w:rPr>
              <w:bCs/>
            </w:rPr>
            <w:fldChar w:fldCharType="end"/>
          </w:r>
        </w:p>
        <w:p>
          <w:pPr>
            <w:pStyle w:val="59"/>
            <w:tabs>
              <w:tab w:val="right" w:leader="dot" w:pos="8306"/>
            </w:tabs>
          </w:pPr>
          <w:r>
            <w:rPr>
              <w:bCs/>
            </w:rPr>
            <w:fldChar w:fldCharType="begin"/>
          </w:r>
          <w:r>
            <w:rPr>
              <w:bCs/>
            </w:rPr>
            <w:instrText xml:space="preserve"> HYPERLINK \l _Toc14298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_Toc2284 </w:instrText>
          </w:r>
          <w:r>
            <w:rPr>
              <w:bCs/>
            </w:rPr>
            <w:fldChar w:fldCharType="separate"/>
          </w:r>
          <w:r>
            <w:rPr>
              <w:rFonts w:hint="eastAsia" w:ascii="Times New Roman" w:hAnsi="Times New Roman" w:eastAsia="楷体"/>
              <w:szCs w:val="24"/>
            </w:rPr>
            <w:t>集运指数（欧线）：短期舱位仍然紧缺，近强远弱继续分化</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9312"/>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152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维持震荡调整判断</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两市继续冲高回落，A股失守3100点，沪深成交额降至7000亿附近，交投情绪进一步回落，场内存量资金博弈激烈，热点无序轮动，资金缺乏继续进攻的动力及方向。美债利率继续走高，已经完全逆转了5月FOMC之后的下行趋势，带动美元指数走强，市场风险偏好降低；今日盘中将发布5月PMI数据，但转好动力较弱。短期维持震荡调整判断。</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874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2300"/>
      <w:r>
        <w:rPr>
          <w:rFonts w:hint="eastAsia" w:ascii="Times New Roman" w:hAnsi="Times New Roman" w:eastAsia="楷体"/>
          <w:b/>
          <w:color w:val="000000" w:themeColor="text1"/>
          <w:sz w:val="24"/>
          <w:szCs w:val="24"/>
          <w14:textFill>
            <w14:solidFill>
              <w14:schemeClr w14:val="tx1"/>
            </w14:solidFill>
          </w14:textFill>
        </w:rPr>
        <w:t>贵金属：美国第一季度GDP小幅下修，贵金属价格下跌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微跌0.01%至555.50元/克，沪银跌1.66%至8247元/千克。美国第一季度实际GDP年化季率下修0.3个百分点至1.3%，个人消费支出下修0.5个百分点至2%，一季度核心PCE物价指数小幅下修至3.6%。美联储博斯蒂克表示，预计通胀将在明年恢复到正常水平，今年第四季度美联储可能会真正考虑并准备降息。美联储威廉姆斯讲话称，最近在降低通胀方面进展不足，2024年PCE通胀将放缓至2.5%，2025年将接近2%；货币政策设置良好，推动美联储目标的达成；数据表明经济增速放缓，但保持稳健。静待周五美国PCE通胀数据，数据公布前后期价波动或加剧。中长期角度持续关注美国经济和通胀表现，留意均线支撑位置可择机布局多头策略。</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32419"/>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0954"/>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碳酸锂：节能降碳行动方案发布，期价小幅上涨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高开后窄幅震荡，07合约收涨1.05%至106000元/吨。国务院印发《2024—2025年节能降碳行动方案》，方案要求，合理布局硅、锂、镁等行业新增产能，新建锂电池正负极项目能效须达到行业先进水平；加强动力电池等回收利用，逐步取消各地新能源汽车购买限制。短期而言，因新设项目审批强调节能降碳、能效要求趋严，有利于碳酸锂下游新增产能的合理布局和高质量发展，产能投放速度或趋缓，对期货盘面影响相对较小；远期而言，方案的推动实施或进一步拉动新能源汽车需求，从而为碳酸锂贡献需求增量，后续关注新能源汽车消费相关配套政策和支持措施的落地情况。上游企业挺价意愿增强，下游因原料库存相对较高、需求及排产有所回落而维持观望，现货市场交投寡淡，部分偏旧仓单价格贴水，短期内期价或偏弱震荡。由于供应相对过剩的预期相对较难扭转，中长期角度建议维持偏空思路。</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15201"/>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铝价承压回调，观望21000支撑</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经济表现韧性，联储降息预期扰动，国内近期多地释放地产利多，整体宏观情绪偏多支撑。基本面上周内国内电解铝运行产能走增，云南地区稳步复产，铝锭社库出现现累库，高价铝抑制库存消费，海外铝库存保持增长状态。国内电解铝成本持续抬升，进口窗口关闭为铝价提供下方支撑，当前处于淡旺季转换阶段，多板块企业订单小幅下滑，预计短期铝价高位震荡，若淡季消费库存持续累库，铝价或出现回调，观望21000支撑，趋势保持看多前提下，建议参与低多。</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2647"/>
      <w:r>
        <w:rPr>
          <w:rFonts w:hint="eastAsia" w:ascii="楷体" w:hAnsi="楷体" w:eastAsia="楷体"/>
          <w:b/>
          <w:color w:val="000000" w:themeColor="text1"/>
          <w:sz w:val="24"/>
          <w:szCs w:val="24"/>
          <w14:textFill>
            <w14:solidFill>
              <w14:schemeClr w14:val="tx1"/>
            </w14:solidFill>
          </w14:textFill>
        </w:rPr>
        <w:t>锌：锌价向上突破仍有压力</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地产利多持续释放，广深放开首付比例及降低贷款利率，提升市场消费信心。上游矿端供应依旧偏紧，港口库存大幅走缩，TC加工费持续下降，冶炼生产压力倍增，下游厂家开工小幅回落，转入淡季维持刚需采购，向上突破压力仍存，短期承压回调后等待驱动择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5386"/>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：国内库存压力继续攀升，铜价回落</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(1)宏观：美国第一季度实际GDP年化季率修正值录得1.3%，为2023年第一季度以来新低。个人消费支出下修0.5个百分点至2%，一季度核心PCE物价指数小幅下修至3.6%。</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(2)库存：5月30日，SHFE仓单库存235655吨，增4140吨；LME仓单库存118125吨，增825吨。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(3)精废价差：5月30日，Mysteel精废价差2876，收窄661。目前价差在合理价差1540之上。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第一季度实际GDP年化季率修正值录得1.3%，为2023年第一季度以来新低，宏观层面经济复苏交易有所弱化，关注周五晚间美国PCE物价指数。基本面，国内消费整体恢复程度较弱，库存压力继续攀升，现货维持贴水。近日部分多头获利了结沪铜持仓量出现明显减量至59万手附近，预计短期价格震荡为主，关注8-8.2万支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2497"/>
      <w:r>
        <w:rPr>
          <w:rFonts w:hint="eastAsia" w:ascii="楷体" w:hAnsi="楷体" w:eastAsia="楷体"/>
          <w:b/>
          <w:color w:val="000000" w:themeColor="text1"/>
          <w:sz w:val="24"/>
          <w:szCs w:val="24"/>
          <w14:textFill>
            <w14:solidFill>
              <w14:schemeClr w14:val="tx1"/>
            </w14:solidFill>
          </w14:textFill>
        </w:rPr>
        <w:t>镍：宏观情绪驱动，底部成本支撑较强</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由于美联储官员再度放鹰，推迟美联储降息预期，宏观情绪施压有色板块。镍矿方面，据SMM调研，目前印尼镍矿RKAB三年审批配额量为2.176亿湿吨，共计通过数量占总申请数量比重约为26.21%，印尼镍矿流通资源较紧缺。镍铁方面，矿端价格坚挺带来成本支撑，近期高镍铁成交价维持高位水平。镍中间品延迟到港，现货资源偏紧。硫酸镍方面，原料紧张带来支撑，但下游需求偏弱，硫酸镍价格持稳为主。供需方面，镍基本面边际变化有限，镍仍为基本面偏弱的品种。库存方面，海内外库存维持累库趋势。综合而言，基本面边际变化并不明显，短期镍价主要受宏观因素驱动，海外美联储降息预期反复调整，国内政策性利好提振，价格高位震荡为主，关注今晚美国PCE数据。</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951"/>
      <w:r>
        <w:rPr>
          <w:rFonts w:hint="eastAsia" w:ascii="楷体" w:hAnsi="楷体" w:eastAsia="楷体"/>
          <w:b/>
          <w:color w:val="000000" w:themeColor="text1"/>
          <w:sz w:val="24"/>
          <w:szCs w:val="24"/>
          <w14:textFill>
            <w14:solidFill>
              <w14:schemeClr w14:val="tx1"/>
            </w14:solidFill>
          </w14:textFill>
        </w:rPr>
        <w:t>不锈钢：上下驱动有限，关注低多机会</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据SMM调研，目前印尼镍矿RKAB审批共计通过数量占总申请数量比重约为26.21%，印尼镍矿流通资源较紧缺。镍铁方面，矿端价格坚挺带来成本支撑，近期高镍铁成交价格多处于990-1020元/镍（到厂含税）高位水平。供需方面，不锈钢排产处于高位，然而下游成交氛围未有明显起色，宏观利好政策的实际效果仍有待观察。库存方面，市场到货量增多，本周库存窄幅累库；仓单库存处于历史高位。综合而言，从宏观来看，美联储降息预期反复摆动，国内政策性利好持续；从基本面来看，供需矛盾压制不锈钢价格上方空间，而成本端带来底部支撑，价格下方空间也有限。预计短期价格在14000-15200元/吨区间震荡运行，鉴于不锈钢估值偏低，易受多头资金扰动，且底部支撑坚挺，建议持低多思路。</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6979"/>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多空博弈加剧，盘面再度反弹</w:t>
      </w:r>
      <w:bookmarkEnd w:id="25"/>
    </w:p>
    <w:p>
      <w:pPr>
        <w:ind w:left="630" w:leftChars="300"/>
        <w:rPr>
          <w:rFonts w:ascii="楷体" w:hAnsi="楷体" w:eastAsia="楷体"/>
          <w:sz w:val="24"/>
          <w:szCs w:val="24"/>
        </w:rPr>
      </w:pPr>
      <w:r>
        <w:rPr>
          <w:rFonts w:hint="eastAsia" w:ascii="楷体" w:hAnsi="楷体" w:eastAsia="楷体"/>
          <w:sz w:val="24"/>
          <w:szCs w:val="24"/>
        </w:rPr>
        <w:t>5月30日，Si2409主力合约呈大幅反弹走势，盘面一度触及涨停，收盘价13075元/吨，较上一收盘价涨跌幅+4.47%，主要受国务院发布《2024-2025年节能降碳行动方案》消息影响。从短期来看，该政策整体相对利多，在情绪刺激下或将进一步推涨盘面价格，但较难直接扭转行业宽松格局，西南丰水期复产在即，上方存在套保盘压力，对盘面大幅反弹也存在压制作用。策略上，多空博弈加剧背景下，建议谨慎操作，暂时观望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0104"/>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6733"/>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主产区逐渐步入旺季 胶价上方压力仍存</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目前看，近期泰国主产区天气仍有扰动，导致新胶产出量较少，泰国宋卡地区原料价格止跌回升，给予盘面较强底部支撑。国内云南产区干旱问题有所缓解，胶水价格居高维稳。据当地胶农反映，目前产区橡胶林长势正常，预计至5月下旬开割情况能达到7成左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5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短期天胶上方压力受泰国即将进入旺产季节影响依旧较大。</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1235"/>
      <w:r>
        <w:rPr>
          <w:rFonts w:hint="eastAsia" w:ascii="Times New Roman" w:hAnsi="Times New Roman" w:eastAsia="楷体"/>
          <w:b/>
          <w:color w:val="000000" w:themeColor="text1"/>
          <w:sz w:val="24"/>
          <w:szCs w:val="24"/>
          <w14:textFill>
            <w14:solidFill>
              <w14:schemeClr w14:val="tx1"/>
            </w14:solidFill>
          </w14:textFill>
        </w:rPr>
        <w:t>聚烯烃：需求存向下预期 聚烯烃谨防高位回调</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0" w:name="_Toc11600"/>
      <w:r>
        <w:rPr>
          <w:rFonts w:hint="eastAsia" w:ascii="Times New Roman" w:hAnsi="Times New Roman" w:eastAsia="楷体"/>
          <w:b/>
          <w:color w:val="823C0B"/>
          <w:sz w:val="30"/>
          <w:szCs w:val="30"/>
        </w:rPr>
        <w:t>[农产品]</w:t>
      </w:r>
      <w:bookmarkEnd w:id="14"/>
      <w:bookmarkEnd w:id="30"/>
    </w:p>
    <w:p>
      <w:pPr>
        <w:pStyle w:val="93"/>
        <w:spacing w:before="60" w:beforeAutospacing="0" w:after="60" w:afterAutospacing="0"/>
        <w:ind w:left="420" w:leftChars="200"/>
        <w:outlineLvl w:val="1"/>
        <w:rPr>
          <w:rFonts w:ascii="楷体" w:hAnsi="楷体" w:eastAsia="楷体"/>
          <w:b/>
        </w:rPr>
      </w:pPr>
      <w:bookmarkStart w:id="31" w:name="_Toc10771"/>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期价弱势未改</w:t>
      </w:r>
      <w:bookmarkEnd w:id="3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五月以来东北与华北产区玉米现货带动期价上涨之后，依然面临东北产区高价往下游传导不畅的问题，这体现在玉米产销区价差与华北-东北玉米价差上，其分别对应南方销区与华北产区，其中前者主要源于全部饲用谷物库存高企之下国家近期投放进口储备，后者则主要源于接下来的小麦上市压力。在我们看来，目前期价更贴近东北产区现货价，需要现货特别是华北产区与南方销区上涨来实现正向反馈，短期更多期待小麦产量不及预期，这直观体现在小麦现货上。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震荡运行，一方面源于短期华北产区玉米表现相对弱于东北产区，另一方面则源于中期影响淀粉-玉米价差的各方面因素仍存在较大的不确定性，副产品端取决于蛋白粕，这需要留意外盘美豆走势和国内豆粕供需；原料成本端华北-东北玉米价差的走扩空间亦受到后期潜在小麦饲用替代的压制；行业供需层面近期改善更多源于玉米原料反弹带来阶段性补库，但淀粉需求持续性存疑。综上所述，我们维持谨慎看多观点，建议前期多单可以考虑继续持有，套利方面则可以考虑逐步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2" w:name="_Toc9386"/>
      <w:r>
        <w:rPr>
          <w:rFonts w:hint="eastAsia" w:ascii="楷体" w:hAnsi="楷体" w:eastAsia="楷体"/>
          <w:b/>
          <w:bCs/>
          <w:color w:val="000000" w:themeColor="text1"/>
          <w14:textFill>
            <w14:solidFill>
              <w14:schemeClr w14:val="tx1"/>
            </w14:solidFill>
          </w14:textFill>
        </w:rPr>
        <w:t>畜禽养殖：现货弱势之下期价窄幅震荡运行</w:t>
      </w:r>
      <w:bookmarkEnd w:id="3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近期现货表现强势，市场反映二次育肥积极入场，导致出栏量持续环比下降，宰后均重上升，现货抢跑有望带动期价短期跟随上涨，但这种供应后移其实不利于后期期现货表现。据此我们中期谨慎看多，短期暂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蛋鸡养殖转为亏损之后，养殖户淘汰积极性上升，蛋鸡淘汰日龄、淘汰鸡价格及周度淘汰量均可以印证，这有望改善远期鸡蛋供需，但需要指出的是，这种产能去化需要持续一段时间才能够改变鸡蛋的供需格局。近期由于国内外饲料原料即豆粕和玉米期现货反弹，而南方持续降雨带来蔬菜缺口继而催生鸡蛋阶段性补库，现货超预期反弹带来市场预期的变化，但我们更担心年后的情况再度出现，即现货反弹导致养殖户补栏积极性回升，淘汰积极性下降，使得行业去产能进程出现中断。在这种情况下，我们倾向于期价继续上涨空间或有限。接下来需要重点关注两个方面，其一是饲料原料端即豆粕和玉米走势，因饲料在鸡蛋养殖成本中占比较大；其二是现货与基差支撑力度，因市场较为关注前期现货超预期上涨之后的持续性及其变数。在这种情况下，我们倾向于期价继续上涨空间或有限。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3" w:name="_Toc25840"/>
      <w:r>
        <w:rPr>
          <w:rFonts w:hint="eastAsia" w:ascii="楷体" w:hAnsi="楷体" w:eastAsia="楷体"/>
          <w:b/>
          <w:bCs/>
          <w:color w:val="000000" w:themeColor="text1"/>
          <w14:textFill>
            <w14:solidFill>
              <w14:schemeClr w14:val="tx1"/>
            </w14:solidFill>
          </w14:textFill>
        </w:rPr>
        <w:t>白糖：郑糖小幅上涨，但长期弱势运行不改</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原糖主力合约下跌1.04%，伦敦ICE白砂糖主力合约下跌0.85%。根据美国农业部预测，本年度全球食糖产量将增至1.86亿吨。除此前已经预计巴西、泰国等地产量增加外，欧盟最大甜菜糖主产国法国产量预计将同比增加5.8%。而全球消费增速不及产量增速，全球食糖仍处供应过剩状态，预计糖价偏弱运行。国内昨日夜盘白糖主力合约上涨0.18%。基本面来看，目前产销结构良好，糖企存在挺价意愿，或是价格上涨的原因。但新榨季产量预计增加，在市场对新榨季全球和国内预计产量均增下，长期糖价弱势运行态势不改。同时，需要留意天气因素的影响，暂时观望。</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4" w:name="_Toc19431"/>
      <w:r>
        <w:rPr>
          <w:rFonts w:hint="eastAsia" w:ascii="楷体" w:hAnsi="楷体" w:eastAsia="楷体"/>
          <w:b/>
          <w:bCs/>
          <w:color w:val="000000" w:themeColor="text1"/>
          <w14:textFill>
            <w14:solidFill>
              <w14:schemeClr w14:val="tx1"/>
            </w14:solidFill>
          </w14:textFill>
        </w:rPr>
        <w:t>棉花：国内需求疲弱，期价再度下跌</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棉下跌1.74%，涨跌停板调整回±3美分/磅。截止上周，美国棉花种植率为59%，高于去年同期及近五年均值，长期来看依旧偏空。同时近期美国棉花主产区迎来降雨，对棉株生长有利，也打压了价格。国内昨日夜盘棉花、棉纱主力合约下跌1.42%和1.04%，棉价大幅下跌。目前纺企处于亏损状态，纺企需求疲弱，棉花销售难以上量。同时，国内再度大量进口美棉也给国内供应端造成压力。尽管市场情绪好转，目前供需格局仍无法支撑棉价持续上行，建议暂时维持观望态度。</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5" w:name="_Toc14298"/>
      <w:r>
        <w:rPr>
          <w:rFonts w:hint="eastAsia" w:ascii="Times New Roman" w:hAnsi="Times New Roman" w:eastAsia="楷体"/>
          <w:b/>
          <w:color w:val="823C0B"/>
          <w:sz w:val="30"/>
          <w:szCs w:val="30"/>
        </w:rPr>
        <w:t>[指数]</w:t>
      </w:r>
      <w:bookmarkEnd w:id="3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6" w:name="_Toc2284"/>
      <w:r>
        <w:rPr>
          <w:rFonts w:hint="eastAsia" w:ascii="Times New Roman" w:hAnsi="Times New Roman" w:eastAsia="楷体"/>
          <w:b/>
          <w:color w:val="000000" w:themeColor="text1"/>
          <w:sz w:val="24"/>
          <w:szCs w:val="24"/>
          <w14:textFill>
            <w14:solidFill>
              <w14:schemeClr w14:val="tx1"/>
            </w14:solidFill>
          </w14:textFill>
        </w:rPr>
        <w:t>集运指数（欧线）：短期舱位仍然紧缺，近强远弱继续分化</w:t>
      </w:r>
      <w:bookmarkEnd w:id="3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5月27日，上海出口集装箱结算运价指数（SCFIS）欧洲航线（基本港）为3368.61点，较上期上升9.7%。</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马士基开放最新wk24（6月10日—16日航次）欧线报价，上海——安特卫普报5440/6800，天津新港—鹿特丹报5440/6800，明显高于上周二wk23开舱时的3125/5800，现货舱位有限可能是此次开舱价格明显抬升原因。</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红海方面，继5月24日胡塞武装在阿拉伯海、地中海袭击了三艘以色列有业务往来船只后。短期内27日，胡塞武装再次发动袭击了3艘在印度洋和红海行驶的货轮。</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冲突不断发生，预计绕行持续将至下半年，但目前期货处于高位，市场出现对未来价格维持高位的担忧，成交量有所下降。在多空博弈激烈情况下，若未有新刺激因素出现则预计期价将短期维持震荡形态，建议观望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19667"/>
      <w:bookmarkStart w:id="38" w:name="_Toc12779"/>
      <w:bookmarkStart w:id="39" w:name="_Toc98426751"/>
      <w:bookmarkStart w:id="40" w:name="_Toc72481108"/>
      <w:bookmarkStart w:id="41" w:name="_Toc71212556"/>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2024年5月31日星期五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5364A7C"/>
    <w:rsid w:val="15602ADB"/>
    <w:rsid w:val="15D52593"/>
    <w:rsid w:val="1626611D"/>
    <w:rsid w:val="16E2497F"/>
    <w:rsid w:val="17A736B0"/>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9B63EF"/>
    <w:rsid w:val="48D7317F"/>
    <w:rsid w:val="49BF13F0"/>
    <w:rsid w:val="49D75468"/>
    <w:rsid w:val="49E169F0"/>
    <w:rsid w:val="4A4A74EF"/>
    <w:rsid w:val="4A6F6249"/>
    <w:rsid w:val="4AB74C38"/>
    <w:rsid w:val="4B14426D"/>
    <w:rsid w:val="4B6224E5"/>
    <w:rsid w:val="4B8C4A56"/>
    <w:rsid w:val="4BF97936"/>
    <w:rsid w:val="4C2C4D07"/>
    <w:rsid w:val="4C457E30"/>
    <w:rsid w:val="4D2A3925"/>
    <w:rsid w:val="4D597189"/>
    <w:rsid w:val="4DB20386"/>
    <w:rsid w:val="4DF02D90"/>
    <w:rsid w:val="4E665CB5"/>
    <w:rsid w:val="4F7D0512"/>
    <w:rsid w:val="4FBA2B77"/>
    <w:rsid w:val="4FD46E6F"/>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63869A4"/>
    <w:rsid w:val="778F5135"/>
    <w:rsid w:val="77B53D6B"/>
    <w:rsid w:val="77D54B08"/>
    <w:rsid w:val="78431DDA"/>
    <w:rsid w:val="784F7772"/>
    <w:rsid w:val="78713929"/>
    <w:rsid w:val="78E55995"/>
    <w:rsid w:val="79267C0B"/>
    <w:rsid w:val="79C90FB7"/>
    <w:rsid w:val="7A25684F"/>
    <w:rsid w:val="7A4975BA"/>
    <w:rsid w:val="7A5B105F"/>
    <w:rsid w:val="7A9E5DA7"/>
    <w:rsid w:val="7ABE4B56"/>
    <w:rsid w:val="7B264F79"/>
    <w:rsid w:val="7B3E5659"/>
    <w:rsid w:val="7BCC4162"/>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6688</Words>
  <Characters>7239</Characters>
  <Lines>80</Lines>
  <Paragraphs>22</Paragraphs>
  <TotalTime>0</TotalTime>
  <ScaleCrop>false</ScaleCrop>
  <LinksUpToDate>false</LinksUpToDate>
  <CharactersWithSpaces>7282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2024-05-31T01:35:29Z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