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_Toc10602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_Toc22921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_Toc2438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_Toc248 </w:instrText>
          </w:r>
          <w:r>
            <w:rPr>
              <w:bCs/>
            </w:rPr>
            <w:fldChar w:fldCharType="separate"/>
          </w:r>
          <w:r>
            <w:rPr>
              <w:rFonts w:hint="eastAsia" w:ascii="Times New Roman" w:hAnsi="Times New Roman" w:eastAsia="楷体"/>
              <w:szCs w:val="24"/>
            </w:rPr>
            <w:t>贵金属：美国通胀压力逐渐缓解，银价维持上涨</w:t>
          </w:r>
          <w:r>
            <w:rPr>
              <w:bCs/>
            </w:rPr>
            <w:fldChar w:fldCharType="end"/>
          </w:r>
        </w:p>
        <w:p>
          <w:pPr>
            <w:pStyle w:val="59"/>
            <w:tabs>
              <w:tab w:val="right" w:leader="dot" w:pos="8306"/>
            </w:tabs>
          </w:pPr>
          <w:r>
            <w:rPr>
              <w:bCs/>
            </w:rPr>
            <w:fldChar w:fldCharType="begin"/>
          </w:r>
          <w:r>
            <w:rPr>
              <w:bCs/>
            </w:rPr>
            <w:instrText xml:space="preserve"> HYPERLINK \l _Toc27411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_Toc18269 </w:instrText>
          </w:r>
          <w:r>
            <w:rPr>
              <w:bCs/>
            </w:rPr>
            <w:fldChar w:fldCharType="separate"/>
          </w:r>
          <w:r>
            <w:rPr>
              <w:rFonts w:hint="eastAsia" w:ascii="楷体" w:hAnsi="楷体" w:eastAsia="楷体"/>
              <w:szCs w:val="24"/>
            </w:rPr>
            <w:t>碳酸锂：现货价格小幅下跌，期价窄幅震荡</w:t>
          </w:r>
          <w:r>
            <w:rPr>
              <w:bCs/>
            </w:rPr>
            <w:fldChar w:fldCharType="end"/>
          </w:r>
        </w:p>
        <w:p>
          <w:pPr>
            <w:pStyle w:val="74"/>
            <w:tabs>
              <w:tab w:val="right" w:leader="dot" w:pos="8306"/>
            </w:tabs>
          </w:pPr>
          <w:r>
            <w:rPr>
              <w:bCs/>
            </w:rPr>
            <w:fldChar w:fldCharType="begin"/>
          </w:r>
          <w:r>
            <w:rPr>
              <w:bCs/>
            </w:rPr>
            <w:instrText xml:space="preserve"> HYPERLINK \l _Toc32482 </w:instrText>
          </w:r>
          <w:r>
            <w:rPr>
              <w:bCs/>
            </w:rPr>
            <w:fldChar w:fldCharType="separate"/>
          </w:r>
          <w:r>
            <w:rPr>
              <w:rFonts w:hint="eastAsia" w:ascii="楷体" w:hAnsi="楷体" w:eastAsia="楷体"/>
              <w:szCs w:val="24"/>
            </w:rPr>
            <w:t>铝：铝价区间盘整，寻找低多机会</w:t>
          </w:r>
          <w:r>
            <w:rPr>
              <w:bCs/>
            </w:rPr>
            <w:fldChar w:fldCharType="end"/>
          </w:r>
        </w:p>
        <w:p>
          <w:pPr>
            <w:pStyle w:val="74"/>
            <w:tabs>
              <w:tab w:val="right" w:leader="dot" w:pos="8306"/>
            </w:tabs>
          </w:pPr>
          <w:r>
            <w:rPr>
              <w:bCs/>
            </w:rPr>
            <w:fldChar w:fldCharType="begin"/>
          </w:r>
          <w:r>
            <w:rPr>
              <w:bCs/>
            </w:rPr>
            <w:instrText xml:space="preserve"> HYPERLINK \l _Toc24213 </w:instrText>
          </w:r>
          <w:r>
            <w:rPr>
              <w:bCs/>
            </w:rPr>
            <w:fldChar w:fldCharType="separate"/>
          </w:r>
          <w:r>
            <w:rPr>
              <w:rFonts w:hint="eastAsia" w:ascii="楷体" w:hAnsi="楷体" w:eastAsia="楷体"/>
              <w:szCs w:val="24"/>
            </w:rPr>
            <w:t>锌：锌价高位震荡</w:t>
          </w:r>
          <w:r>
            <w:rPr>
              <w:bCs/>
            </w:rPr>
            <w:fldChar w:fldCharType="end"/>
          </w:r>
        </w:p>
        <w:p>
          <w:pPr>
            <w:pStyle w:val="74"/>
            <w:tabs>
              <w:tab w:val="right" w:leader="dot" w:pos="8306"/>
            </w:tabs>
          </w:pPr>
          <w:r>
            <w:rPr>
              <w:bCs/>
            </w:rPr>
            <w:fldChar w:fldCharType="begin"/>
          </w:r>
          <w:r>
            <w:rPr>
              <w:bCs/>
            </w:rPr>
            <w:instrText xml:space="preserve"> HYPERLINK \l _Toc10849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：海外挤仓，沪铜高位偏强运行</w:t>
          </w:r>
          <w:r>
            <w:rPr>
              <w:bCs/>
            </w:rPr>
            <w:fldChar w:fldCharType="end"/>
          </w:r>
        </w:p>
        <w:p>
          <w:pPr>
            <w:pStyle w:val="74"/>
            <w:tabs>
              <w:tab w:val="right" w:leader="dot" w:pos="8306"/>
            </w:tabs>
          </w:pPr>
          <w:r>
            <w:rPr>
              <w:bCs/>
            </w:rPr>
            <w:fldChar w:fldCharType="begin"/>
          </w:r>
          <w:r>
            <w:rPr>
              <w:bCs/>
            </w:rPr>
            <w:instrText xml:space="preserve"> HYPERLINK \l _Toc19775 </w:instrText>
          </w:r>
          <w:r>
            <w:rPr>
              <w:bCs/>
            </w:rPr>
            <w:fldChar w:fldCharType="separate"/>
          </w:r>
          <w:r>
            <w:rPr>
              <w:rFonts w:hint="eastAsia" w:ascii="楷体" w:hAnsi="楷体" w:eastAsia="楷体"/>
              <w:szCs w:val="24"/>
            </w:rPr>
            <w:t>镍：原料端扰动有限，缺乏持续上行驱动</w:t>
          </w:r>
          <w:r>
            <w:rPr>
              <w:bCs/>
            </w:rPr>
            <w:fldChar w:fldCharType="end"/>
          </w:r>
        </w:p>
        <w:p>
          <w:pPr>
            <w:pStyle w:val="74"/>
            <w:tabs>
              <w:tab w:val="right" w:leader="dot" w:pos="8306"/>
            </w:tabs>
          </w:pPr>
          <w:r>
            <w:rPr>
              <w:bCs/>
            </w:rPr>
            <w:fldChar w:fldCharType="begin"/>
          </w:r>
          <w:r>
            <w:rPr>
              <w:bCs/>
            </w:rPr>
            <w:instrText xml:space="preserve"> HYPERLINK \l _Toc15634 </w:instrText>
          </w:r>
          <w:r>
            <w:rPr>
              <w:bCs/>
            </w:rPr>
            <w:fldChar w:fldCharType="separate"/>
          </w:r>
          <w:r>
            <w:rPr>
              <w:rFonts w:hint="eastAsia" w:ascii="楷体" w:hAnsi="楷体" w:eastAsia="楷体"/>
              <w:szCs w:val="24"/>
            </w:rPr>
            <w:t>不锈钢：上下两难，区间震荡为主</w:t>
          </w:r>
          <w:r>
            <w:rPr>
              <w:bCs/>
            </w:rPr>
            <w:fldChar w:fldCharType="end"/>
          </w:r>
        </w:p>
        <w:p>
          <w:pPr>
            <w:pStyle w:val="74"/>
            <w:tabs>
              <w:tab w:val="right" w:leader="dot" w:pos="8306"/>
            </w:tabs>
          </w:pPr>
          <w:r>
            <w:rPr>
              <w:bCs/>
            </w:rPr>
            <w:fldChar w:fldCharType="begin"/>
          </w:r>
          <w:r>
            <w:rPr>
              <w:bCs/>
            </w:rPr>
            <w:instrText xml:space="preserve"> HYPERLINK \l _Toc25284 </w:instrText>
          </w:r>
          <w:r>
            <w:rPr>
              <w:bCs/>
            </w:rPr>
            <w:fldChar w:fldCharType="separate"/>
          </w:r>
          <w:r>
            <w:rPr>
              <w:rFonts w:hint="eastAsia" w:ascii="楷体" w:hAnsi="楷体" w:eastAsia="楷体"/>
              <w:szCs w:val="24"/>
            </w:rPr>
            <w:t>工业硅：供需宽松格局暂无改善，盘面或维持偏弱运行</w:t>
          </w:r>
          <w:r>
            <w:rPr>
              <w:bCs/>
            </w:rPr>
            <w:fldChar w:fldCharType="end"/>
          </w:r>
        </w:p>
        <w:p>
          <w:pPr>
            <w:pStyle w:val="59"/>
            <w:tabs>
              <w:tab w:val="right" w:leader="dot" w:pos="8306"/>
            </w:tabs>
          </w:pPr>
          <w:r>
            <w:rPr>
              <w:bCs/>
            </w:rPr>
            <w:fldChar w:fldCharType="begin"/>
          </w:r>
          <w:r>
            <w:rPr>
              <w:bCs/>
            </w:rPr>
            <w:instrText xml:space="preserve"> HYPERLINK \l _Toc22242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_Toc15580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成本端止跌 天胶短期偏强情绪蔓延</w:t>
          </w:r>
          <w:r>
            <w:rPr>
              <w:bCs/>
            </w:rPr>
            <w:fldChar w:fldCharType="end"/>
          </w:r>
        </w:p>
        <w:p>
          <w:pPr>
            <w:pStyle w:val="74"/>
            <w:tabs>
              <w:tab w:val="right" w:leader="dot" w:pos="8306"/>
            </w:tabs>
          </w:pPr>
          <w:r>
            <w:rPr>
              <w:bCs/>
            </w:rPr>
            <w:fldChar w:fldCharType="begin"/>
          </w:r>
          <w:r>
            <w:rPr>
              <w:bCs/>
            </w:rPr>
            <w:instrText xml:space="preserve"> HYPERLINK \l _Toc11806 </w:instrText>
          </w:r>
          <w:r>
            <w:rPr>
              <w:bCs/>
            </w:rPr>
            <w:fldChar w:fldCharType="separate"/>
          </w:r>
          <w:r>
            <w:rPr>
              <w:rFonts w:hint="eastAsia" w:ascii="楷体" w:hAnsi="楷体" w:eastAsia="楷体"/>
              <w:szCs w:val="24"/>
            </w:rPr>
            <w:t>聚烯烃：供需双弱 聚烯烃或震荡整理主</w:t>
          </w:r>
          <w:r>
            <w:rPr>
              <w:bCs/>
            </w:rPr>
            <w:fldChar w:fldCharType="end"/>
          </w:r>
        </w:p>
        <w:p>
          <w:pPr>
            <w:pStyle w:val="74"/>
            <w:tabs>
              <w:tab w:val="right" w:leader="dot" w:pos="8306"/>
            </w:tabs>
          </w:pPr>
          <w:r>
            <w:rPr>
              <w:bCs/>
            </w:rPr>
            <w:fldChar w:fldCharType="begin"/>
          </w:r>
          <w:r>
            <w:rPr>
              <w:bCs/>
            </w:rPr>
            <w:instrText xml:space="preserve"> HYPERLINK \l _Toc29235 </w:instrText>
          </w:r>
          <w:r>
            <w:rPr>
              <w:bCs/>
            </w:rPr>
            <w:fldChar w:fldCharType="separate"/>
          </w:r>
          <w:r>
            <w:rPr>
              <w:rFonts w:hint="eastAsia" w:ascii="楷体" w:hAnsi="楷体" w:eastAsia="楷体"/>
              <w:szCs w:val="24"/>
            </w:rPr>
            <w:t>玻璃：关注近期政策变动，等待矛盾积累</w:t>
          </w:r>
          <w:r>
            <w:rPr>
              <w:bCs/>
            </w:rPr>
            <w:fldChar w:fldCharType="end"/>
          </w:r>
        </w:p>
        <w:p>
          <w:pPr>
            <w:pStyle w:val="74"/>
            <w:tabs>
              <w:tab w:val="right" w:leader="dot" w:pos="8306"/>
            </w:tabs>
          </w:pPr>
          <w:r>
            <w:rPr>
              <w:bCs/>
            </w:rPr>
            <w:fldChar w:fldCharType="begin"/>
          </w:r>
          <w:r>
            <w:rPr>
              <w:bCs/>
            </w:rPr>
            <w:instrText xml:space="preserve"> HYPERLINK \l _Toc6675 </w:instrText>
          </w:r>
          <w:r>
            <w:rPr>
              <w:bCs/>
            </w:rPr>
            <w:fldChar w:fldCharType="separate"/>
          </w:r>
          <w:r>
            <w:rPr>
              <w:rFonts w:hint="eastAsia" w:ascii="楷体" w:hAnsi="楷体" w:eastAsia="楷体"/>
              <w:szCs w:val="24"/>
            </w:rPr>
            <w:t>纯碱：现货价格边际走弱，期价高位震荡</w:t>
          </w:r>
          <w:r>
            <w:rPr>
              <w:bCs/>
            </w:rPr>
            <w:fldChar w:fldCharType="end"/>
          </w:r>
        </w:p>
        <w:p>
          <w:pPr>
            <w:pStyle w:val="59"/>
            <w:tabs>
              <w:tab w:val="right" w:leader="dot" w:pos="8306"/>
            </w:tabs>
          </w:pPr>
          <w:r>
            <w:rPr>
              <w:bCs/>
            </w:rPr>
            <w:fldChar w:fldCharType="begin"/>
          </w:r>
          <w:r>
            <w:rPr>
              <w:bCs/>
            </w:rPr>
            <w:instrText xml:space="preserve"> HYPERLINK \l _Toc21258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_Toc12183 </w:instrText>
          </w:r>
          <w:r>
            <w:rPr>
              <w:bCs/>
            </w:rPr>
            <w:fldChar w:fldCharType="separate"/>
          </w:r>
          <w:r>
            <w:rPr>
              <w:rFonts w:hint="eastAsia" w:ascii="楷体" w:hAnsi="楷体" w:eastAsia="楷体"/>
              <w:bCs/>
            </w:rPr>
            <w:t>玉米与淀粉：</w:t>
          </w:r>
          <w:r>
            <w:rPr>
              <w:rFonts w:hint="eastAsia" w:ascii="楷体" w:hAnsi="楷体" w:eastAsia="楷体"/>
            </w:rPr>
            <w:t>期价夜盘冲高回落</w:t>
          </w:r>
          <w:r>
            <w:rPr>
              <w:bCs/>
            </w:rPr>
            <w:fldChar w:fldCharType="end"/>
          </w:r>
        </w:p>
        <w:p>
          <w:pPr>
            <w:pStyle w:val="74"/>
            <w:tabs>
              <w:tab w:val="right" w:leader="dot" w:pos="8306"/>
            </w:tabs>
          </w:pPr>
          <w:r>
            <w:rPr>
              <w:bCs/>
            </w:rPr>
            <w:fldChar w:fldCharType="begin"/>
          </w:r>
          <w:r>
            <w:rPr>
              <w:bCs/>
            </w:rPr>
            <w:instrText xml:space="preserve"> HYPERLINK \l _Toc30729 </w:instrText>
          </w:r>
          <w:r>
            <w:rPr>
              <w:bCs/>
            </w:rPr>
            <w:fldChar w:fldCharType="separate"/>
          </w:r>
          <w:r>
            <w:rPr>
              <w:rFonts w:hint="eastAsia" w:ascii="楷体" w:hAnsi="楷体" w:eastAsia="楷体"/>
              <w:bCs/>
            </w:rPr>
            <w:t>畜禽养殖：鸡蛋期价继续近强远弱分化运行</w:t>
          </w:r>
          <w:r>
            <w:rPr>
              <w:bCs/>
            </w:rPr>
            <w:fldChar w:fldCharType="end"/>
          </w:r>
        </w:p>
        <w:p>
          <w:pPr>
            <w:pStyle w:val="74"/>
            <w:tabs>
              <w:tab w:val="right" w:leader="dot" w:pos="8306"/>
            </w:tabs>
          </w:pPr>
          <w:r>
            <w:rPr>
              <w:bCs/>
            </w:rPr>
            <w:fldChar w:fldCharType="begin"/>
          </w:r>
          <w:r>
            <w:rPr>
              <w:bCs/>
            </w:rPr>
            <w:instrText xml:space="preserve"> HYPERLINK \l _Toc26392 </w:instrText>
          </w:r>
          <w:r>
            <w:rPr>
              <w:bCs/>
            </w:rPr>
            <w:fldChar w:fldCharType="separate"/>
          </w:r>
          <w:r>
            <w:rPr>
              <w:rFonts w:hint="eastAsia" w:ascii="楷体" w:hAnsi="楷体" w:eastAsia="楷体"/>
              <w:bCs/>
            </w:rPr>
            <w:t>白糖：供应宽松格局不变，内外糖价双跌</w:t>
          </w:r>
          <w:r>
            <w:rPr>
              <w:bCs/>
            </w:rPr>
            <w:fldChar w:fldCharType="end"/>
          </w:r>
        </w:p>
        <w:p>
          <w:pPr>
            <w:pStyle w:val="74"/>
            <w:tabs>
              <w:tab w:val="right" w:leader="dot" w:pos="8306"/>
            </w:tabs>
          </w:pPr>
          <w:r>
            <w:rPr>
              <w:bCs/>
            </w:rPr>
            <w:fldChar w:fldCharType="begin"/>
          </w:r>
          <w:r>
            <w:rPr>
              <w:bCs/>
            </w:rPr>
            <w:instrText xml:space="preserve"> HYPERLINK \l _Toc22698 </w:instrText>
          </w:r>
          <w:r>
            <w:rPr>
              <w:bCs/>
            </w:rPr>
            <w:fldChar w:fldCharType="separate"/>
          </w:r>
          <w:r>
            <w:rPr>
              <w:rFonts w:hint="eastAsia" w:ascii="楷体" w:hAnsi="楷体" w:eastAsia="楷体"/>
              <w:bCs/>
            </w:rPr>
            <w:t>棉花：美棉继续回暖，郑棉价格反弹</w:t>
          </w:r>
          <w:r>
            <w:rPr>
              <w:bCs/>
            </w:rPr>
            <w:fldChar w:fldCharType="end"/>
          </w:r>
        </w:p>
        <w:p>
          <w:pPr>
            <w:pStyle w:val="59"/>
            <w:tabs>
              <w:tab w:val="right" w:leader="dot" w:pos="8306"/>
            </w:tabs>
          </w:pPr>
          <w:r>
            <w:rPr>
              <w:bCs/>
            </w:rPr>
            <w:fldChar w:fldCharType="begin"/>
          </w:r>
          <w:r>
            <w:rPr>
              <w:bCs/>
            </w:rPr>
            <w:instrText xml:space="preserve"> HYPERLINK \l _Toc16354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_Toc11743 </w:instrText>
          </w:r>
          <w:r>
            <w:rPr>
              <w:bCs/>
            </w:rPr>
            <w:fldChar w:fldCharType="separate"/>
          </w:r>
          <w:r>
            <w:rPr>
              <w:rFonts w:hint="eastAsia" w:ascii="Times New Roman" w:hAnsi="Times New Roman" w:eastAsia="楷体"/>
              <w:szCs w:val="24"/>
            </w:rPr>
            <w:t>集运指数（欧线）：移仓换月进行时，期价走势仍然偏强</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060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292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国内方面，内需依然薄弱，在市场经历过轮动普涨后，或给市场带来一定波折。近期市场对于地产相关政策预期较高，国新办将于5月17日下午4时举行国务院政策例行吹风会，介绍切实做好保交房工作配套政策有关情况。政策面及资本市场新规为中长期提供一定支撑，但短期向上爆发力不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3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48"/>
      <w:r>
        <w:rPr>
          <w:rFonts w:hint="eastAsia" w:ascii="Times New Roman" w:hAnsi="Times New Roman" w:eastAsia="楷体"/>
          <w:b/>
          <w:color w:val="000000" w:themeColor="text1"/>
          <w:sz w:val="24"/>
          <w:szCs w:val="24"/>
          <w14:textFill>
            <w14:solidFill>
              <w14:schemeClr w14:val="tx1"/>
            </w14:solidFill>
          </w14:textFill>
        </w:rPr>
        <w:t>贵金属：美国通胀压力逐渐缓解，银价维持上涨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微跌0.03%至562.70元/克，沪银涨1.25%至7617元/千克。美联储威廉姆斯表示，通胀压力逐渐缓解趋势较为乐观，但现在没有必要收紧货币政策，预计年底通胀率在2%低位区间，明年约为2%，无需等到通胀精确达到2%再放松政策。美联储博斯蒂克表示，对四月份通胀进展感到满意，但美联储尚未达到目标；年底前降息可能是合适的，但美联储没有任何确定的计划。欧央行多位官员认为，欧央行6月降息的条件已经具备。美联储年内降息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2741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826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碳酸锂：现货价格小幅下跌，期价窄幅震荡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下跌，期价横盘窄幅震荡，07合约收涨0.39%至104000元/吨。据电池联盟数据，4月国内动力电池装车量35.4GWh，同比增长40.9%，环比增长1.4%。分项而言，4月三元电池装车量9.9GWh，占总装车量28.0%，同比增长24.1%，环比下降12.2%；磷酸铁锂电池装车量25.5GWh，占总装车量71.9%，同比增长48.7%，环比增长7.8%。中汽协数据显示，4月新能源汽车产销分别完成87万辆和85万辆，同比分别增长35.9%和33.5%，市场占有率达到36%。当前基本面转弱，供应方面产量和进口维持增量预期，下游磷酸铁锂产量增速放缓，终端对碳酸锂需求的拉动作用仍有待观察，需求端增速放缓而供应过剩情况或有所加剧。关注10万整数关口以及前低附近支撑，短期或偏弱运行。由于供应相对过剩的预期相对较难扭转，中长期角度建议亦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3248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铝价区间盘整，寻找低多机会</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4月CPI数据表现符合预期，市场降息预期再起，美国对华产品加征关税，对美铝材出口受限，宏观情绪提增但预计相对有。基本面上看，国内电解铝供应稳定，云南复产带来部分铝水增长，下游需求表现韧性仍存，国内库存提货3万吨，盘面多头持仓持续增长，铝价重心上移价格难跌，短期价格在20000-21000盘整寻找支撑，建议市场情绪稳定后寻找低多位置。</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4213"/>
      <w:r>
        <w:rPr>
          <w:rFonts w:hint="eastAsia" w:ascii="楷体" w:hAnsi="楷体" w:eastAsia="楷体"/>
          <w:b/>
          <w:color w:val="000000" w:themeColor="text1"/>
          <w:sz w:val="24"/>
          <w:szCs w:val="24"/>
          <w14:textFill>
            <w14:solidFill>
              <w14:schemeClr w14:val="tx1"/>
            </w14:solidFill>
          </w14:textFill>
        </w:rPr>
        <w:t>锌：锌价高位震荡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表现符合预期，市场通胀压力走弱，有色价格普涨。基本面来看，矿端紧缺限制扩产，海外有色冶炼龙头Nyrstar计划复产增强海外供应预期，国内冶炼保持高产但生产利润亏损，库存仍在历史同期相对高位，海内外需求边际修复，锌价成本端支撑，短期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084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：海外挤仓，沪铜高位偏强运行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(1)宏观：美国劳工部披露4月消费者价格指数，其中名义CPI年率3.4%，符合预期；CPI月率增长0.3%，略低于0.4%的预期；更关键的核心CPI年率进一步回落至3.6%，符合预期的同时，跌至2021年4月以来的最低点。</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(2)库存：5月15日，SHFE仓单库存241280吨，增5501吨；LME仓单库存104625吨，减125吨。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(3)精废价差：5月15日，Mysteel精废价差3664，收窄470。目前价差在合理价差1511之上。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4月CPI数据如期回落，降息预期再次升温，美元指数大幅下挫，但美国4月零售销售月率意外录得0%，低于市场预期的0.4%，海外经济复苏交易继续受到干扰。基本面层面的供应收缩预期交易逻辑仍在持续，进口铜精矿指数跌至负数，但国内库存继续累增，弱现实状态下仍需注意后续铜价动力，当前海外逼空行情持续，市场多头氛围浓厚，短期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9775"/>
      <w:r>
        <w:rPr>
          <w:rFonts w:hint="eastAsia" w:ascii="楷体" w:hAnsi="楷体" w:eastAsia="楷体"/>
          <w:b/>
          <w:color w:val="000000" w:themeColor="text1"/>
          <w:sz w:val="24"/>
          <w:szCs w:val="24"/>
          <w14:textFill>
            <w14:solidFill>
              <w14:schemeClr w14:val="tx1"/>
            </w14:solidFill>
          </w14:textFill>
        </w:rPr>
        <w:t>镍：原料端扰动有限，缺乏持续上行驱动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新喀镍中间品生产被动停产，短期或有利好情绪影响，但镍中间品产能主要集中于印尼，因此预计影响有限。原料端，印尼镍矿流通资源仍偏紧；镍铁价格维持偏高水平；印尼镍中间品延期到港；硫酸镍在原料偏紧情况下价格持稳为主，为电积镍带来成本支撑。供应端，精炼镍产能维持高位，Mysteel预计5月国内精炼镍产量预计2.65万吨，环比增加6.37%。需求端，精炼镍下游成交以刚需采购为主。终端来看，三元电芯龙头企业减产，加上成品库存高企，对镍需求疲软；不锈钢厂5月排产维持高位，存有采购需求。综合而言，美国4月核心CPI降温，支撑美联储降息预期，预计宏观利好情绪边际升温，新喀暂停生产镍中间品或有情绪扰动，但考虑到基本面偏弱，价格继续上行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634"/>
      <w:r>
        <w:rPr>
          <w:rFonts w:hint="eastAsia" w:ascii="楷体" w:hAnsi="楷体" w:eastAsia="楷体"/>
          <w:b/>
          <w:color w:val="000000" w:themeColor="text1"/>
          <w:sz w:val="24"/>
          <w:szCs w:val="24"/>
          <w14:textFill>
            <w14:solidFill>
              <w14:schemeClr w14:val="tx1"/>
            </w14:solidFill>
          </w14:textFill>
        </w:rPr>
        <w:t>不锈钢：上下两难，区间震荡为主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镍矿端，印尼镍矿流通资源仍偏紧，预计镍矿价格坚挺。镍铁端，高镍生铁成交价维持高位水平，不锈钢成本支撑较强。供应方面， 5月不锈钢厂排产维持高位，Mysteel预计排产373万吨左右。需求方面，期价偏高对下游需求带来抑制，近期下游成交未有起色；终端来看，近期多地放开楼市限购等宏观政策有助于地产市场恢复，关注实际需求兑现情况。库存方面，上周社会库存累库2.66%，仓单库存处于历史高点。综合而言，一方面，美国4月核心CPI降温，美元指数下挫，宏观情绪利好；另一方面，供需矛盾凸显，仓单库存压力不容忽视，短期不锈钢价格上下两难，预计在13800-14500区间震荡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528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供需宽松格局暂无改善，盘面或维持偏弱运行</w:t>
      </w:r>
      <w:bookmarkEnd w:id="25"/>
    </w:p>
    <w:p>
      <w:pPr>
        <w:ind w:left="630" w:leftChars="300"/>
        <w:rPr>
          <w:rFonts w:ascii="楷体" w:hAnsi="楷体" w:eastAsia="楷体"/>
          <w:sz w:val="24"/>
          <w:szCs w:val="24"/>
        </w:rPr>
      </w:pPr>
      <w:r>
        <w:rPr>
          <w:rFonts w:hint="eastAsia" w:ascii="楷体" w:hAnsi="楷体" w:eastAsia="楷体"/>
          <w:sz w:val="24"/>
          <w:szCs w:val="24"/>
        </w:rPr>
        <w:t>5月16日，Si2407主力合约呈延续下行走势，收盘价11725元/吨，较上一收盘价涨跌幅-0.38%。当前供需宽松格局存在进一步扩大预期，一方面西南丰水期或将逐步复产，使得供应存在增加预期，另一方面核心需求多晶硅市场情绪悲观，已跌破较多企业现金流成本，叠加其下游硅片开工下降，后续生产存在进一步降负荷或检修，对工业硅需求或将有所下降。整体而言，供需宽松格局暂无改善，叠加仓单压力进一步上升，盘面或将维持偏弱运行，参考区间（11500，12000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224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558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成本端止跌 天胶短期偏强情绪蔓延</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胶价或偏强整理为主。但短期天胶上方压力受泰国即将进入旺产季节影响依旧较大。</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1806"/>
      <w:r>
        <w:rPr>
          <w:rFonts w:hint="eastAsia" w:ascii="楷体" w:hAnsi="楷体" w:eastAsia="楷体"/>
          <w:b/>
          <w:color w:val="000000" w:themeColor="text1"/>
          <w:sz w:val="24"/>
          <w:szCs w:val="24"/>
          <w14:textFill>
            <w14:solidFill>
              <w14:schemeClr w14:val="tx1"/>
            </w14:solidFill>
          </w14:textFill>
        </w:rPr>
        <w:t>聚烯烃：供需双弱 聚烯烃或震荡整理主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聚烯烃供需双弱，或震荡整理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9235"/>
      <w:r>
        <w:rPr>
          <w:rFonts w:hint="eastAsia" w:ascii="楷体" w:hAnsi="楷体" w:eastAsia="楷体"/>
          <w:b/>
          <w:color w:val="000000" w:themeColor="text1"/>
          <w:sz w:val="24"/>
          <w:szCs w:val="24"/>
          <w14:textFill>
            <w14:solidFill>
              <w14:schemeClr w14:val="tx1"/>
            </w14:solidFill>
          </w14:textFill>
        </w:rPr>
        <w:t>玻璃：关注近期政策变动，等待矛盾积累</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16日报道：今日浮法玻璃现货价格1691元/吨，较上一交易日-2元/吨。供给上，日熔量17.37万吨/天。截止到20240516，全国浮法玻璃样本企业总库存5948.38万重箱，环比-172.2万重箱，环比-2.81%，周内去库。现货端，华北、华中地区日度产销边际回落。宏观方面周五有国务院召开地产相关电话会议的传闻，整体宏观预期偏强，盘面上，终端实际需求不温不火，周内去库叠加宏观强预期驱动期价上行升水现货，政策利好情绪释放以后，期价回归基本面，下半年地产需求由弱转强预期无法证伪，但弱现实压制上方空间，近日产销边际回落，基差回归，二季度仍为震荡格局，现实较弱，预期较强。操作上，短线等待回调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6675"/>
      <w:r>
        <w:rPr>
          <w:rFonts w:hint="eastAsia" w:ascii="楷体" w:hAnsi="楷体" w:eastAsia="楷体"/>
          <w:b/>
          <w:color w:val="000000" w:themeColor="text1"/>
          <w:sz w:val="24"/>
          <w:szCs w:val="24"/>
          <w14:textFill>
            <w14:solidFill>
              <w14:schemeClr w14:val="tx1"/>
            </w14:solidFill>
          </w14:textFill>
        </w:rPr>
        <w:t>纯碱：现货价格边际走弱，期价高位震荡</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纯碱价格稳中有降，华中和华北的重碱成交在2150元/吨附近，轻碱2000-2050元/吨，较上周=50元/吨。从供给端来看，截至到20240516，周内纯碱产量70.96万吨，环比减少1.06万吨，跌幅1.47%。从库存上看，截止到2024年5月16日，周内纯碱厂家库存88.53万吨，较周一减少0.62万吨，跌幅0.70%，库存高位震荡，整体波动小，产销基本平衡态势，整体库存波动主要来自于供给端检修。需求端表现平稳，重碱产销走弱，贸易商出货情绪走强，新单询单较多，承接走弱。盘面上，碱厂近期以稳价为主，贸易商出货情绪较强，上下游围绕价格博弈，近期政策利多逐渐消化，下游浮法和光伏玻璃产销边际回落，投机和套利情绪减弱，期价回调，但中期夏季检修供给减产预期仍在，可以等待期价回调结束后再低多，短期考验20日均销支撑。</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1258"/>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218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期价夜盘冲高回落</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一以来外盘美玉米期价的上涨，加上国内华北产区玉米止跌回升，带动玉米期价持续大幅反弹，考虑到华北小麦上市压力仍有待释放，南北方港口库存及其深加工玉米库存高企，这说明国内玉米市场现实压力依然存在，期价上涨或表明市场预期已经转向乐观，即转而担心小麦饲用替代量不足以弥补产需缺口，这符合我们之前预期，但需要指出的是，期价上涨带动基差走弱，市场需要现货跟随上涨来实现正反馈。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短期来看，盘面生产亏损、行业库存下滑及其华北-东北玉米价差回升等因素或带动淀粉-玉米价差阶段性反弹，但中期来看，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下游产品库存回升，开机率下滑，或影响淀粉需求的持续性。综上所述，我们维持谨慎看多观点，建议前期多单可以考虑继续持有，套利方面则可以考虑阶段性参与。</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30729"/>
      <w:r>
        <w:rPr>
          <w:rFonts w:hint="eastAsia" w:ascii="楷体" w:hAnsi="楷体" w:eastAsia="楷体"/>
          <w:b/>
          <w:bCs/>
          <w:color w:val="000000" w:themeColor="text1"/>
          <w14:textFill>
            <w14:solidFill>
              <w14:schemeClr w14:val="tx1"/>
            </w14:solidFill>
          </w14:textFill>
        </w:rPr>
        <w:t>畜禽养殖：鸡蛋期价继续近强远弱分化运行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但不排除期现货市场抢跑的可能性。在这种情况下，近月更多关注现货与基差，而远月更多关注仔猪价格走势。据此我们中期谨慎看多，短期暂维持中性观点，建议投资者暂以观望为宜，等待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近期由于国内外饲料原料即豆粕和玉米期现货反弹，而南方持续降雨带来蔬菜缺口继而催生鸡蛋阶段性补库，现货反弹带来市场预期的变化，但我们更担心年后的情况再度出现，即现货反弹导致养殖户补栏积极性回升，淘汰积极性下降，使得行业去产能进程出现中断。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26392"/>
      <w:r>
        <w:rPr>
          <w:rFonts w:hint="eastAsia" w:ascii="楷体" w:hAnsi="楷体" w:eastAsia="楷体"/>
          <w:b/>
          <w:bCs/>
          <w:color w:val="000000" w:themeColor="text1"/>
          <w14:textFill>
            <w14:solidFill>
              <w14:schemeClr w14:val="tx1"/>
            </w14:solidFill>
          </w14:textFill>
        </w:rPr>
        <w:t>白糖：供应宽松格局不变，内外糖价双跌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连下跌1.72%，伦敦ICE白砂糖主连下跌1.11%，糖价下跌不止。根据昨日UNICA公布数据，四月下半月巴西中南部甘蔗压榨量为3457万吨，较去年同期增长61.3%；糖产量为184万吨，同比增长84.25%。巴西糖产量大幅增加，国际市场处于供大于求的状态，期价承压运行。国内昨日夜盘白糖主力合约下跌0.10%。根据农业农村部上周五公布的供需预测，24/25年度甘蔗种植面积略增、甜菜种植面积大增，食糖产量保持恢复性增长，有望增至1100万吨，而消费量基本持平，国内食糖产需缺口缩小。新榨季内蒙古甜菜种植面积已确认，较上年增加30-40万亩，符合农业部预测。基于当前供需格局分析，24/25年度产量增加或导致期价下降。但目前内蒙古产销率超过80%，累库压力也不大，需留意价格反弹，预计盘面震荡整理，建议投资者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2698"/>
      <w:r>
        <w:rPr>
          <w:rFonts w:hint="eastAsia" w:ascii="楷体" w:hAnsi="楷体" w:eastAsia="楷体"/>
          <w:b/>
          <w:bCs/>
          <w:color w:val="000000" w:themeColor="text1"/>
          <w14:textFill>
            <w14:solidFill>
              <w14:schemeClr w14:val="tx1"/>
            </w14:solidFill>
          </w14:textFill>
        </w:rPr>
        <w:t>棉花：美棉继续回暖，郑棉价格反弹</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价格上涨0.77%，或是价格低位市场情绪看多导致，但基本面因素没有改变。截至5月15日，ICE可交割2号棉合约库存较上一交易日增加13135包，库存大量累积，供应端宽松压制棉价。巴西预估产量上调也给棉价造成压力。根据Conab周二公布数据，巴西23/24年度产量估计为364.35万吨，较去年增长14.8%。国内昨日夜盘棉花主力合约上涨1.06%，收盘于15215元/吨，重回15200线以上：棉纱主力合约上涨0.72%。由于目前价格处于低位，外盘棉价反弹，预计郑棉在此前低位14840筑底。但4月中国棉纺织行业PMI为40.60%，环比下降12.15%，再度降至枯荣线以下，下游需求依旧疲弱，棉价上行空间有限。总体而言，棉价预计区间震荡，建议投资者维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6354"/>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1743"/>
      <w:r>
        <w:rPr>
          <w:rFonts w:hint="eastAsia" w:ascii="Times New Roman" w:hAnsi="Times New Roman" w:eastAsia="楷体"/>
          <w:b/>
          <w:color w:val="000000" w:themeColor="text1"/>
          <w:sz w:val="24"/>
          <w:szCs w:val="24"/>
          <w14:textFill>
            <w14:solidFill>
              <w14:schemeClr w14:val="tx1"/>
            </w14:solidFill>
          </w14:textFill>
        </w:rPr>
        <w:t>集运指数（欧线）：移仓换月进行时，期价走势仍然偏强</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 5月10日公布SCFI数据，上海港出口至欧洲基本港市场运价（海运及海运附加费）为2869美元/TEU，较上期大幅上涨24.7%。5月13日，上海出口集装箱结算运价指数（SCFIS）欧洲航线运价指数环比上涨13.7%。从实际结算价表现来看，上涨幅度速度略不如订舱价格。</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仍存，一定程度上对盘面造成情绪上的扰动，短期利好因素释放但前期期货价格已连续多日创出新高，市场出现对未来价格维持高位的担忧。预计期价将短期维持强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12779"/>
      <w:bookmarkStart w:id="41" w:name="_Toc72481108"/>
      <w:bookmarkStart w:id="42" w:name="_Toc71212556"/>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2024年5月17日星期五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E2497F"/>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4975BA"/>
    <w:rsid w:val="7A5B105F"/>
    <w:rsid w:val="7A9E5DA7"/>
    <w:rsid w:val="7ABE4B56"/>
    <w:rsid w:val="7B264F79"/>
    <w:rsid w:val="7B3E5659"/>
    <w:rsid w:val="7BCC4162"/>
    <w:rsid w:val="7CD80967"/>
    <w:rsid w:val="7D0C2828"/>
    <w:rsid w:val="7D902239"/>
    <w:rsid w:val="7EAF7817"/>
    <w:rsid w:val="7F78012E"/>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2024-05-17T01:34:08Z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