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_Toc950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_Toc1049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_Toc32349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_Toc25146 </w:instrText>
          </w:r>
          <w:r>
            <w:rPr>
              <w:bCs/>
            </w:rPr>
            <w:fldChar w:fldCharType="separate"/>
          </w:r>
          <w:r>
            <w:rPr>
              <w:rFonts w:hint="eastAsia" w:ascii="Times New Roman" w:hAnsi="Times New Roman" w:eastAsia="楷体"/>
              <w:szCs w:val="24"/>
            </w:rPr>
            <w:t>贵金属：美国CPI通胀符合预期，贵金属价格上涨</w:t>
          </w:r>
          <w:r>
            <w:rPr>
              <w:bCs/>
            </w:rPr>
            <w:fldChar w:fldCharType="end"/>
          </w:r>
        </w:p>
        <w:p>
          <w:pPr>
            <w:pStyle w:val="59"/>
            <w:tabs>
              <w:tab w:val="right" w:leader="dot" w:pos="8306"/>
            </w:tabs>
          </w:pPr>
          <w:r>
            <w:rPr>
              <w:bCs/>
            </w:rPr>
            <w:fldChar w:fldCharType="begin"/>
          </w:r>
          <w:r>
            <w:rPr>
              <w:bCs/>
            </w:rPr>
            <w:instrText xml:space="preserve"> HYPERLINK \l _Toc12245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_Toc18403 </w:instrText>
          </w:r>
          <w:r>
            <w:rPr>
              <w:bCs/>
            </w:rPr>
            <w:fldChar w:fldCharType="separate"/>
          </w:r>
          <w:r>
            <w:rPr>
              <w:rFonts w:hint="eastAsia" w:ascii="楷体" w:hAnsi="楷体" w:eastAsia="楷体"/>
              <w:szCs w:val="24"/>
            </w:rPr>
            <w:t>碳酸锂：美对华电动汽车及锂电产品加征关税，期价进一步下跌</w:t>
          </w:r>
          <w:r>
            <w:rPr>
              <w:bCs/>
            </w:rPr>
            <w:fldChar w:fldCharType="end"/>
          </w:r>
        </w:p>
        <w:p>
          <w:pPr>
            <w:pStyle w:val="74"/>
            <w:tabs>
              <w:tab w:val="right" w:leader="dot" w:pos="8306"/>
            </w:tabs>
          </w:pPr>
          <w:r>
            <w:rPr>
              <w:bCs/>
            </w:rPr>
            <w:fldChar w:fldCharType="begin"/>
          </w:r>
          <w:r>
            <w:rPr>
              <w:bCs/>
            </w:rPr>
            <w:instrText xml:space="preserve"> HYPERLINK \l _Toc30668 </w:instrText>
          </w:r>
          <w:r>
            <w:rPr>
              <w:bCs/>
            </w:rPr>
            <w:fldChar w:fldCharType="separate"/>
          </w:r>
          <w:r>
            <w:rPr>
              <w:rFonts w:hint="eastAsia" w:ascii="楷体" w:hAnsi="楷体" w:eastAsia="楷体"/>
              <w:szCs w:val="24"/>
            </w:rPr>
            <w:t>铝：铝价维持区间窄幅震荡</w:t>
          </w:r>
          <w:r>
            <w:rPr>
              <w:bCs/>
            </w:rPr>
            <w:fldChar w:fldCharType="end"/>
          </w:r>
        </w:p>
        <w:p>
          <w:pPr>
            <w:pStyle w:val="74"/>
            <w:tabs>
              <w:tab w:val="right" w:leader="dot" w:pos="8306"/>
            </w:tabs>
          </w:pPr>
          <w:r>
            <w:rPr>
              <w:bCs/>
            </w:rPr>
            <w:fldChar w:fldCharType="begin"/>
          </w:r>
          <w:r>
            <w:rPr>
              <w:bCs/>
            </w:rPr>
            <w:instrText xml:space="preserve"> HYPERLINK \l _Toc20423 </w:instrText>
          </w:r>
          <w:r>
            <w:rPr>
              <w:bCs/>
            </w:rPr>
            <w:fldChar w:fldCharType="separate"/>
          </w:r>
          <w:r>
            <w:rPr>
              <w:rFonts w:hint="eastAsia" w:ascii="楷体" w:hAnsi="楷体" w:eastAsia="楷体"/>
              <w:szCs w:val="24"/>
            </w:rPr>
            <w:t>锌：锌价高位震荡</w:t>
          </w:r>
          <w:r>
            <w:rPr>
              <w:bCs/>
            </w:rPr>
            <w:fldChar w:fldCharType="end"/>
          </w:r>
        </w:p>
        <w:p>
          <w:pPr>
            <w:pStyle w:val="74"/>
            <w:tabs>
              <w:tab w:val="right" w:leader="dot" w:pos="8306"/>
            </w:tabs>
          </w:pPr>
          <w:r>
            <w:rPr>
              <w:bCs/>
            </w:rPr>
            <w:fldChar w:fldCharType="begin"/>
          </w:r>
          <w:r>
            <w:rPr>
              <w:bCs/>
            </w:rPr>
            <w:instrText xml:space="preserve"> HYPERLINK \l _Toc24802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：海外挤仓，沪铜高位偏强运行</w:t>
          </w:r>
          <w:r>
            <w:rPr>
              <w:bCs/>
            </w:rPr>
            <w:fldChar w:fldCharType="end"/>
          </w:r>
        </w:p>
        <w:p>
          <w:pPr>
            <w:pStyle w:val="74"/>
            <w:tabs>
              <w:tab w:val="right" w:leader="dot" w:pos="8306"/>
            </w:tabs>
          </w:pPr>
          <w:r>
            <w:rPr>
              <w:bCs/>
            </w:rPr>
            <w:fldChar w:fldCharType="begin"/>
          </w:r>
          <w:r>
            <w:rPr>
              <w:bCs/>
            </w:rPr>
            <w:instrText xml:space="preserve"> HYPERLINK \l _Toc12761 </w:instrText>
          </w:r>
          <w:r>
            <w:rPr>
              <w:bCs/>
            </w:rPr>
            <w:fldChar w:fldCharType="separate"/>
          </w:r>
          <w:r>
            <w:rPr>
              <w:rFonts w:hint="eastAsia" w:ascii="楷体" w:hAnsi="楷体" w:eastAsia="楷体"/>
              <w:szCs w:val="24"/>
            </w:rPr>
            <w:t>镍：宏观与基本面交织，高位震荡为主</w:t>
          </w:r>
          <w:r>
            <w:rPr>
              <w:bCs/>
            </w:rPr>
            <w:fldChar w:fldCharType="end"/>
          </w:r>
        </w:p>
        <w:p>
          <w:pPr>
            <w:pStyle w:val="74"/>
            <w:tabs>
              <w:tab w:val="right" w:leader="dot" w:pos="8306"/>
            </w:tabs>
          </w:pPr>
          <w:r>
            <w:rPr>
              <w:bCs/>
            </w:rPr>
            <w:fldChar w:fldCharType="begin"/>
          </w:r>
          <w:r>
            <w:rPr>
              <w:bCs/>
            </w:rPr>
            <w:instrText xml:space="preserve"> HYPERLINK \l _Toc971 </w:instrText>
          </w:r>
          <w:r>
            <w:rPr>
              <w:bCs/>
            </w:rPr>
            <w:fldChar w:fldCharType="separate"/>
          </w:r>
          <w:r>
            <w:rPr>
              <w:rFonts w:hint="eastAsia" w:ascii="楷体" w:hAnsi="楷体" w:eastAsia="楷体"/>
              <w:szCs w:val="24"/>
            </w:rPr>
            <w:t>不锈钢：上下两难，区间震荡为主</w:t>
          </w:r>
          <w:r>
            <w:rPr>
              <w:bCs/>
            </w:rPr>
            <w:fldChar w:fldCharType="end"/>
          </w:r>
        </w:p>
        <w:p>
          <w:pPr>
            <w:pStyle w:val="74"/>
            <w:tabs>
              <w:tab w:val="right" w:leader="dot" w:pos="8306"/>
            </w:tabs>
          </w:pPr>
          <w:r>
            <w:rPr>
              <w:bCs/>
            </w:rPr>
            <w:fldChar w:fldCharType="begin"/>
          </w:r>
          <w:r>
            <w:rPr>
              <w:bCs/>
            </w:rPr>
            <w:instrText xml:space="preserve"> HYPERLINK \l _Toc2661 </w:instrText>
          </w:r>
          <w:r>
            <w:rPr>
              <w:bCs/>
            </w:rPr>
            <w:fldChar w:fldCharType="separate"/>
          </w:r>
          <w:r>
            <w:rPr>
              <w:rFonts w:hint="eastAsia" w:ascii="楷体" w:hAnsi="楷体" w:eastAsia="楷体"/>
              <w:szCs w:val="24"/>
            </w:rPr>
            <w:t>工业硅：仓单大幅增加，盘面或将偏弱运行</w:t>
          </w:r>
          <w:r>
            <w:rPr>
              <w:bCs/>
            </w:rPr>
            <w:fldChar w:fldCharType="end"/>
          </w:r>
        </w:p>
        <w:p>
          <w:pPr>
            <w:pStyle w:val="59"/>
            <w:tabs>
              <w:tab w:val="right" w:leader="dot" w:pos="8306"/>
            </w:tabs>
          </w:pPr>
          <w:r>
            <w:rPr>
              <w:bCs/>
            </w:rPr>
            <w:fldChar w:fldCharType="begin"/>
          </w:r>
          <w:r>
            <w:rPr>
              <w:bCs/>
            </w:rPr>
            <w:instrText xml:space="preserve"> HYPERLINK \l _Toc24700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_Toc17140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成本端止跌 天胶短期下方空间有限</w:t>
          </w:r>
          <w:r>
            <w:rPr>
              <w:bCs/>
            </w:rPr>
            <w:fldChar w:fldCharType="end"/>
          </w:r>
        </w:p>
        <w:p>
          <w:pPr>
            <w:pStyle w:val="74"/>
            <w:tabs>
              <w:tab w:val="right" w:leader="dot" w:pos="8306"/>
            </w:tabs>
          </w:pPr>
          <w:r>
            <w:rPr>
              <w:bCs/>
            </w:rPr>
            <w:fldChar w:fldCharType="begin"/>
          </w:r>
          <w:r>
            <w:rPr>
              <w:bCs/>
            </w:rPr>
            <w:instrText xml:space="preserve"> HYPERLINK \l _Toc17920 </w:instrText>
          </w:r>
          <w:r>
            <w:rPr>
              <w:bCs/>
            </w:rPr>
            <w:fldChar w:fldCharType="separate"/>
          </w:r>
          <w:r>
            <w:rPr>
              <w:rFonts w:hint="eastAsia" w:ascii="楷体" w:hAnsi="楷体" w:eastAsia="楷体"/>
              <w:szCs w:val="24"/>
            </w:rPr>
            <w:t>聚烯烃：供需双弱 聚烯烃或回调为主</w:t>
          </w:r>
          <w:r>
            <w:rPr>
              <w:bCs/>
            </w:rPr>
            <w:fldChar w:fldCharType="end"/>
          </w:r>
        </w:p>
        <w:p>
          <w:pPr>
            <w:pStyle w:val="74"/>
            <w:tabs>
              <w:tab w:val="right" w:leader="dot" w:pos="8306"/>
            </w:tabs>
          </w:pPr>
          <w:r>
            <w:rPr>
              <w:bCs/>
            </w:rPr>
            <w:fldChar w:fldCharType="begin"/>
          </w:r>
          <w:r>
            <w:rPr>
              <w:bCs/>
            </w:rPr>
            <w:instrText xml:space="preserve"> HYPERLINK \l _Toc29550 </w:instrText>
          </w:r>
          <w:r>
            <w:rPr>
              <w:bCs/>
            </w:rPr>
            <w:fldChar w:fldCharType="separate"/>
          </w:r>
          <w:r>
            <w:rPr>
              <w:rFonts w:hint="eastAsia" w:ascii="楷体" w:hAnsi="楷体" w:eastAsia="楷体"/>
              <w:szCs w:val="24"/>
            </w:rPr>
            <w:t>玻璃：供需紧平衡，期价高位震荡</w:t>
          </w:r>
          <w:r>
            <w:rPr>
              <w:bCs/>
            </w:rPr>
            <w:fldChar w:fldCharType="end"/>
          </w:r>
        </w:p>
        <w:p>
          <w:pPr>
            <w:pStyle w:val="74"/>
            <w:tabs>
              <w:tab w:val="right" w:leader="dot" w:pos="8306"/>
            </w:tabs>
          </w:pPr>
          <w:r>
            <w:rPr>
              <w:bCs/>
            </w:rPr>
            <w:fldChar w:fldCharType="begin"/>
          </w:r>
          <w:r>
            <w:rPr>
              <w:bCs/>
            </w:rPr>
            <w:instrText xml:space="preserve"> HYPERLINK \l _Toc26015 </w:instrText>
          </w:r>
          <w:r>
            <w:rPr>
              <w:bCs/>
            </w:rPr>
            <w:fldChar w:fldCharType="separate"/>
          </w:r>
          <w:r>
            <w:rPr>
              <w:rFonts w:hint="eastAsia" w:ascii="楷体" w:hAnsi="楷体" w:eastAsia="楷体"/>
              <w:szCs w:val="24"/>
            </w:rPr>
            <w:t>纯碱：现货市场稳价，期价高位震荡</w:t>
          </w:r>
          <w:r>
            <w:rPr>
              <w:bCs/>
            </w:rPr>
            <w:fldChar w:fldCharType="end"/>
          </w:r>
        </w:p>
        <w:p>
          <w:pPr>
            <w:pStyle w:val="59"/>
            <w:tabs>
              <w:tab w:val="right" w:leader="dot" w:pos="8306"/>
            </w:tabs>
          </w:pPr>
          <w:r>
            <w:rPr>
              <w:bCs/>
            </w:rPr>
            <w:fldChar w:fldCharType="begin"/>
          </w:r>
          <w:r>
            <w:rPr>
              <w:bCs/>
            </w:rPr>
            <w:instrText xml:space="preserve"> HYPERLINK \l _Toc1292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_Toc21622 </w:instrText>
          </w:r>
          <w:r>
            <w:rPr>
              <w:bCs/>
            </w:rPr>
            <w:fldChar w:fldCharType="separate"/>
          </w:r>
          <w:r>
            <w:rPr>
              <w:rFonts w:hint="eastAsia" w:ascii="楷体" w:hAnsi="楷体" w:eastAsia="楷体"/>
              <w:bCs/>
            </w:rPr>
            <w:t>玉米与淀粉：</w:t>
          </w:r>
          <w:r>
            <w:rPr>
              <w:rFonts w:hint="eastAsia" w:ascii="楷体" w:hAnsi="楷体" w:eastAsia="楷体"/>
            </w:rPr>
            <w:t>期现货延续涨势</w:t>
          </w:r>
          <w:r>
            <w:rPr>
              <w:bCs/>
            </w:rPr>
            <w:fldChar w:fldCharType="end"/>
          </w:r>
        </w:p>
        <w:p>
          <w:pPr>
            <w:pStyle w:val="74"/>
            <w:tabs>
              <w:tab w:val="right" w:leader="dot" w:pos="8306"/>
            </w:tabs>
          </w:pPr>
          <w:r>
            <w:rPr>
              <w:bCs/>
            </w:rPr>
            <w:fldChar w:fldCharType="begin"/>
          </w:r>
          <w:r>
            <w:rPr>
              <w:bCs/>
            </w:rPr>
            <w:instrText xml:space="preserve"> HYPERLINK \l _Toc28184 </w:instrText>
          </w:r>
          <w:r>
            <w:rPr>
              <w:bCs/>
            </w:rPr>
            <w:fldChar w:fldCharType="separate"/>
          </w:r>
          <w:r>
            <w:rPr>
              <w:rFonts w:hint="eastAsia" w:ascii="楷体" w:hAnsi="楷体" w:eastAsia="楷体"/>
              <w:bCs/>
            </w:rPr>
            <w:t>畜禽养殖：生猪期价偏弱震荡运行</w:t>
          </w:r>
          <w:r>
            <w:rPr>
              <w:bCs/>
            </w:rPr>
            <w:fldChar w:fldCharType="end"/>
          </w:r>
        </w:p>
        <w:p>
          <w:pPr>
            <w:pStyle w:val="74"/>
            <w:tabs>
              <w:tab w:val="right" w:leader="dot" w:pos="8306"/>
            </w:tabs>
          </w:pPr>
          <w:r>
            <w:rPr>
              <w:bCs/>
            </w:rPr>
            <w:fldChar w:fldCharType="begin"/>
          </w:r>
          <w:r>
            <w:rPr>
              <w:bCs/>
            </w:rPr>
            <w:instrText xml:space="preserve"> HYPERLINK \l _Toc5822 </w:instrText>
          </w:r>
          <w:r>
            <w:rPr>
              <w:bCs/>
            </w:rPr>
            <w:fldChar w:fldCharType="separate"/>
          </w:r>
          <w:r>
            <w:rPr>
              <w:rFonts w:hint="eastAsia" w:ascii="楷体" w:hAnsi="楷体" w:eastAsia="楷体"/>
              <w:bCs/>
            </w:rPr>
            <w:t>白糖：国外供应强劲，糖价再度下跌</w:t>
          </w:r>
          <w:r>
            <w:rPr>
              <w:bCs/>
            </w:rPr>
            <w:fldChar w:fldCharType="end"/>
          </w:r>
        </w:p>
        <w:p>
          <w:pPr>
            <w:pStyle w:val="74"/>
            <w:tabs>
              <w:tab w:val="right" w:leader="dot" w:pos="8306"/>
            </w:tabs>
          </w:pPr>
          <w:r>
            <w:rPr>
              <w:bCs/>
            </w:rPr>
            <w:fldChar w:fldCharType="begin"/>
          </w:r>
          <w:r>
            <w:rPr>
              <w:bCs/>
            </w:rPr>
            <w:instrText xml:space="preserve"> HYPERLINK \l _Toc21658 </w:instrText>
          </w:r>
          <w:r>
            <w:rPr>
              <w:bCs/>
            </w:rPr>
            <w:fldChar w:fldCharType="separate"/>
          </w:r>
          <w:r>
            <w:rPr>
              <w:rFonts w:hint="eastAsia" w:ascii="楷体" w:hAnsi="楷体" w:eastAsia="楷体"/>
              <w:bCs/>
            </w:rPr>
            <w:t>棉花：美棉反弹，郑棉小幅下跌</w:t>
          </w:r>
          <w:r>
            <w:rPr>
              <w:bCs/>
            </w:rPr>
            <w:fldChar w:fldCharType="end"/>
          </w:r>
        </w:p>
        <w:p>
          <w:pPr>
            <w:pStyle w:val="59"/>
            <w:tabs>
              <w:tab w:val="right" w:leader="dot" w:pos="8306"/>
            </w:tabs>
          </w:pPr>
          <w:r>
            <w:rPr>
              <w:bCs/>
            </w:rPr>
            <w:fldChar w:fldCharType="begin"/>
          </w:r>
          <w:r>
            <w:rPr>
              <w:bCs/>
            </w:rPr>
            <w:instrText xml:space="preserve"> HYPERLINK \l _Toc27212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_Toc5973 </w:instrText>
          </w:r>
          <w:r>
            <w:rPr>
              <w:bCs/>
            </w:rPr>
            <w:fldChar w:fldCharType="separate"/>
          </w:r>
          <w:r>
            <w:rPr>
              <w:rFonts w:hint="eastAsia" w:ascii="Times New Roman" w:hAnsi="Times New Roman" w:eastAsia="楷体"/>
              <w:szCs w:val="24"/>
            </w:rPr>
            <w:t>集运指数（欧线）：移仓换月进行时，期价走势仍然偏强</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95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049"/>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美国公布4月通胀数据，整体CPI明显低于市场预期，整体通胀受益于食品和燃气价格回落。 CPI数据公布后，互换市场上调对美联储年内降息速度的预期。由于核心CPI与市场预期持平，仍需关注资产风险偏好抬升的空间与持续性。国内方面，内需依然薄弱，在市场经历过轮动普涨后，或给市场带来一定波折。政策面及资本市场新规为中长期提供一定支撑，但短期向上爆发力不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2349"/>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5146"/>
      <w:r>
        <w:rPr>
          <w:rFonts w:hint="eastAsia" w:ascii="Times New Roman" w:hAnsi="Times New Roman" w:eastAsia="楷体"/>
          <w:b/>
          <w:color w:val="000000" w:themeColor="text1"/>
          <w:sz w:val="24"/>
          <w:szCs w:val="24"/>
          <w14:textFill>
            <w14:solidFill>
              <w14:schemeClr w14:val="tx1"/>
            </w14:solidFill>
          </w14:textFill>
        </w:rPr>
        <w:t>贵金属：美国CPI通胀符合预期，贵金属价格上涨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1.19%至564.84元/克，沪银涨3.19%至7602元/千克。美国4月CPI同比增3.4%，符合市场预期，前值为3.5%；环比增0.3%，预期和前值均为0.4%。4月核心CPI同比降至3.6%，为2021年4月以来最低；核心CPI环比增速从3月份的0.4%下降至0.3%，为6个月来首次下降，符合市场预期。市场预期美联储将从9月份开始降息。美国4月零售销售环比意外持平，此前市场预期为增0.4%，前值从0.7%修正为0.6%。美国5月纽约联储制造业指数下跌至-15.6，连续第六个月收缩，低于市场预期的-10，投入和销售价格指标略有放缓。年内降息为大概率事件，全球央行持续购金亦对金价形成一定支撑，建议贵金属中长期思路以偏多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1224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8403"/>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碳酸锂：美对华电动汽车及锂电产品加征关税，期价进一步下跌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基本面走弱叠加消息面影响，碳酸锂期价向下突破春节以来的震荡区间下沿，5月15日07合约收跌3.10%至103000元/吨。近期美方发布对华加征301关税四年期复审结果，宣布在原有对华301关税基础上，进一步提高多项产品的加征关税，中方坚决反对并严正交涉。其中，针对中国电动汽车的关税将从25%提升至100%，用于电动汽车的锂离子电池及其零部件的关税将从今年的7.5%升至25%，或增加出口成本、削弱需求，从需求侧角度也形成一定的利空。当前基本面转弱，供应方面产量和进口维持增量预期，下游磷酸铁锂产量增速放缓，终端对碳酸锂需求的拉动作用仍有待观察，需求端增速放缓而供应过剩情况或有所加剧。期价向下突破前期震荡区间下沿后，关注10万整数关口以及前低附近支撑，短期或偏弱运行。由于供应相对过剩的预期相对较难扭转，中长期角度建议亦维持偏空思路。</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30668"/>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铝价维持区间窄幅震荡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4月CPI数据表现符合预期，市场降息预期再起，美国对华产品加征关税，对美铝材出口受限，宏观情绪提增但预计相对有限。基本面上看，国内电解铝供应稳定，云南复产带来部分铝水增长，下游需求表现韧性仍存，铝价重心上移价格难跌，短期价格或窄幅震荡在20000-21000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0423"/>
      <w:r>
        <w:rPr>
          <w:rFonts w:hint="eastAsia" w:ascii="楷体" w:hAnsi="楷体" w:eastAsia="楷体"/>
          <w:b/>
          <w:color w:val="000000" w:themeColor="text1"/>
          <w:sz w:val="24"/>
          <w:szCs w:val="24"/>
          <w14:textFill>
            <w14:solidFill>
              <w14:schemeClr w14:val="tx1"/>
            </w14:solidFill>
          </w14:textFill>
        </w:rPr>
        <w:t>锌：锌价高位震荡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数据表现符合预期，市场通胀压力走弱，有色价格普涨。基本面来看，矿端紧缺限制扩产，海外有色冶炼龙头Nyrstar计划复产增强海外供应预期，国内冶炼保持高产但生产利润亏损，库存仍在历史同期相对高位，海内外需求边际修复，锌价成本端支撑，短期高位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4802"/>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：海外挤仓，沪铜高位偏强运行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(1)宏观：美国劳工部披露4月消费者价格指数，其中名义CPI年率3.4%，符合预期；CPI月率增长0.3%，略低于0.4%的预期；更关键的核心CPI年率进一步回落至3.6%，符合预期的同时，跌至2021年4月以来的最低点。</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(2)库存：5月15日，SHFE仓单库存241280吨，增5501吨；LME仓单库存104625吨，减125吨。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(3)精废价差：5月15日，Mysteel精废价差3664，收窄470。目前价差在合理价差1511之上。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4月CPI数据如期回落，降息预期再次升温，美元指数大幅下挫，但美国4月零售销售月率意外录得0%，低于市场预期的0.4%，海外经济复苏交易继续受到干扰。基本面层面的供应收缩预期交易逻辑仍在持续，进口铜精矿指数跌至负数，但国内库存继续累增，弱现实状态下仍需注意后续铜价动力，当前海外逼空行情持续，市场多头氛围浓厚，短期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2761"/>
      <w:r>
        <w:rPr>
          <w:rFonts w:hint="eastAsia" w:ascii="楷体" w:hAnsi="楷体" w:eastAsia="楷体"/>
          <w:b/>
          <w:color w:val="000000" w:themeColor="text1"/>
          <w:sz w:val="24"/>
          <w:szCs w:val="24"/>
          <w14:textFill>
            <w14:solidFill>
              <w14:schemeClr w14:val="tx1"/>
            </w14:solidFill>
          </w14:textFill>
        </w:rPr>
        <w:t>镍：宏观与基本面交织，高位震荡为主</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端，印尼镍矿流通资源仍偏紧，镍矿价格维持高位；镍铁价格偏强运行；印尼镍中间品延期到港，价格折扣系数处于偏高水平；硫酸镍在原料偏紧情况下供应不及预期，但下游需求表现疲弱，预计短期硫酸镍价格持稳为主，为电积镍带来成本支撑。供应端，精炼镍产能维持高位，Mysteel预计5月国内精炼镍产量预计2.65万吨，环比增加6.37%。需求端，精炼镍下游成交以刚需采购为主。终端来看，三元电芯龙头企业减产，加上成品库存高企，对镍需求疲软；不锈钢厂5月排产维持高位，存有采购需求。综合而言，美国4月核心CPI降温，支撑美联储降息预期，预计宏观利好情绪边际升温，但考虑到基本面偏弱使价格缺乏上行驱动，短期镍价高位震荡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971"/>
      <w:r>
        <w:rPr>
          <w:rFonts w:hint="eastAsia" w:ascii="楷体" w:hAnsi="楷体" w:eastAsia="楷体"/>
          <w:b/>
          <w:color w:val="000000" w:themeColor="text1"/>
          <w:sz w:val="24"/>
          <w:szCs w:val="24"/>
          <w14:textFill>
            <w14:solidFill>
              <w14:schemeClr w14:val="tx1"/>
            </w14:solidFill>
          </w14:textFill>
        </w:rPr>
        <w:t>不锈钢：上下两难，区间震荡为主</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镍矿端，印尼镍矿流通资源仍偏紧，预计镍矿价格坚挺。镍铁端，高镍生铁成交价维持高位水平，不锈钢成本支撑较强。供应方面， 5月不锈钢厂排产维持高位，Mysteel预计排产373万吨左右。需求方面，期价偏高对下游需求带来抑制，近期下游成交未有起色；终端来看，近期多地放开楼市限购等宏观政策有助于地产市场恢复，关注实际需求兑现情况。库存方面，上周社会库存累库2.66%，仓单库存处于历史高点。综合而言，一方面，美国4月核心CPI降温，美元指数下挫，宏观情绪利好，且成本端带来较强底部支撑；另一方面，供需矛盾凸显，仓单库存压力不容忽视，短期不锈钢价格上下两难，预计在13800-14500区间震荡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66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仓单大幅增加，盘面或将偏弱运行</w:t>
      </w:r>
      <w:bookmarkEnd w:id="25"/>
    </w:p>
    <w:p>
      <w:pPr>
        <w:ind w:left="630" w:leftChars="300"/>
        <w:rPr>
          <w:rFonts w:ascii="楷体" w:hAnsi="楷体" w:eastAsia="楷体"/>
          <w:sz w:val="24"/>
          <w:szCs w:val="24"/>
        </w:rPr>
      </w:pPr>
      <w:r>
        <w:rPr>
          <w:rFonts w:hint="eastAsia" w:ascii="楷体" w:hAnsi="楷体" w:eastAsia="楷体"/>
          <w:sz w:val="24"/>
          <w:szCs w:val="24"/>
        </w:rPr>
        <w:t>5月15日，Si2407主力合约呈延续下行走势，收盘价11770元/吨，较上一收盘价涨跌幅-0.34%。从基本面来看，北方产区处于开工高位，随着西南步入平水期，当地工厂已开始季节性复产，后续仍存在较大复产空间，但是需求端暂无出现改善情况，存在转向宽松预期。周内仓单注册量出现较大幅度增加，压力进一步增加，预计盘面将偏弱运行，参考区间（11500，12300）。策略上，建议波段操作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4700"/>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714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成本端止跌 天胶短期下方空间有限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持续去化。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短期天胶上方压力受泰国即将进入旺产季节影响依旧较大，胶价或震荡整理为主。</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17920"/>
      <w:r>
        <w:rPr>
          <w:rFonts w:hint="eastAsia" w:ascii="楷体" w:hAnsi="楷体" w:eastAsia="楷体"/>
          <w:b/>
          <w:color w:val="000000" w:themeColor="text1"/>
          <w:sz w:val="24"/>
          <w:szCs w:val="24"/>
          <w14:textFill>
            <w14:solidFill>
              <w14:schemeClr w14:val="tx1"/>
            </w14:solidFill>
          </w14:textFill>
        </w:rPr>
        <w:t>聚烯烃：供需双弱 聚烯烃或回调为主</w:t>
      </w:r>
      <w:bookmarkEnd w:id="29"/>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聚烯烃供需双弱，成本端波动较大，预计聚烯烃回调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0" w:name="_Toc29550"/>
      <w:r>
        <w:rPr>
          <w:rFonts w:hint="eastAsia" w:ascii="楷体" w:hAnsi="楷体" w:eastAsia="楷体"/>
          <w:b/>
          <w:color w:val="000000" w:themeColor="text1"/>
          <w:sz w:val="24"/>
          <w:szCs w:val="24"/>
          <w14:textFill>
            <w14:solidFill>
              <w14:schemeClr w14:val="tx1"/>
            </w14:solidFill>
          </w14:textFill>
        </w:rPr>
        <w:t>玻璃：供需紧平衡，期价高位震荡</w:t>
      </w:r>
      <w:bookmarkEnd w:id="3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纯碱价格稳中有降，华中和华北的重碱成交在2150元/吨附近，轻碱2000-2050元/吨，较上周=50元/吨。从供给端来看，截至到20240509，周内纯碱产量72.02万吨，环比减少1.99万吨，跌幅2.69%。从库存上看，截止到2024年5月9日，周内国内纯碱厂家库存89.11万吨，较周一减少0.46万吨，跌幅0.51%，但较上周累库3万吨左右，整体库存波动主要来自于供给端检修。需求端表现平稳，轻碱订单较好，重碱走弱，贸易商出货情绪走强，新单询单较多，承接走弱。盘面上，碱厂近期以稳价为主，贸易商出货情绪较强，上下游围绕价格博弈，近期政策利多逐渐消化，下游浮法和光伏玻璃产销边际回落，投机和套利情绪减弱，期价回调，但中期夏季检修供给减产预期仍在，可以等待期价回调结束后再低多，短期考验20日均销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1" w:name="_Toc26015"/>
      <w:r>
        <w:rPr>
          <w:rFonts w:hint="eastAsia" w:ascii="楷体" w:hAnsi="楷体" w:eastAsia="楷体"/>
          <w:b/>
          <w:color w:val="000000" w:themeColor="text1"/>
          <w:sz w:val="24"/>
          <w:szCs w:val="24"/>
          <w14:textFill>
            <w14:solidFill>
              <w14:schemeClr w14:val="tx1"/>
            </w14:solidFill>
          </w14:textFill>
        </w:rPr>
        <w:t>纯碱：现货市场稳价，期价高位震荡</w:t>
      </w:r>
      <w:bookmarkEnd w:id="3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后碱厂以稳价为主，华中和华北的重碱成交在2150-2200元/吨附近，轻碱2050-2100元/吨。从供给端来看，截至到20240509，周内纯碱产量72.02万吨，环比减少1.99万吨，跌幅2.69%。截止到2024年5月13日，国内纯碱厂家总库存89.15万吨，较上周四增加0.04万吨，涨幅0.04%，库存变化不大。需求端表现平稳，轻碱订单较好，重碱走弱，贸易商出货情绪走强，新单询单较多，承接走弱。盘面上，节后虽然库存出现累库，但短期碱厂仍有挺价意愿，上下游围绕价格博弈，近期政策较多，下游浮法和光伏玻璃需求预期转强，但需要注意的是当前强预期与弱现实较为割裂，现货市场纯碱并不紧张，近期进口碱到岗以及投机情绪减弱，期价回归基本面，中期夏季检修供给减产预期仍在，可以等待期价回调后再低多。</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1292"/>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2162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期现货延续涨势</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五一以来外盘美玉米期价的上涨，加上国内华北产区玉米止跌回升，带动玉米期价持续大幅反弹，考虑到华北小麦上市压力仍有待释放，南北方港口库存及其深加工玉米库存高企，这说明国内玉米市场现实压力依然存在，期价上涨或表明市场预期已经转向乐观，即转而担心小麦饲用替代量不足以弥补产需缺口，这符合我们之前预期，但需要指出的是，期价上涨带动基差走弱，市场需要现货跟随上涨来实现正反馈。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短期来看，盘面生产亏损、行业库存下滑及其华北-东北玉米价差回升等因素或带动淀粉-玉米价差阶段性反弹，但中期来看，影响淀粉-玉米价差的各方面因素仍存在较大的不确定性，副产品端取决于蛋白粕，这需要留意外盘美豆走势和国内豆粕供需；原料成本端华北-东北玉米价差的走扩空间亦受到后期潜在小麦饲用替代的压制；行业供需层面近期改善更多源于玉米原料反弹带来阶段性补库，但下游产品库存回升，开机率下滑，或影响淀粉需求的持续性。综上所述，我们维持谨慎看多观点，建议前期多单可以考虑继续持有，套利方面则可以考虑阶段性参与。</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28184"/>
      <w:r>
        <w:rPr>
          <w:rFonts w:hint="eastAsia" w:ascii="楷体" w:hAnsi="楷体" w:eastAsia="楷体"/>
          <w:b/>
          <w:bCs/>
          <w:color w:val="000000" w:themeColor="text1"/>
          <w14:textFill>
            <w14:solidFill>
              <w14:schemeClr w14:val="tx1"/>
            </w14:solidFill>
          </w14:textFill>
        </w:rPr>
        <w:t>畜禽养殖：生猪期价偏弱震荡运行</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综上所述，考虑到二季度供需改善幅度限制猪价上涨空间，而市场对后市的看涨预期依然强烈同样抑制现货回落空间，我们预计期价或延续区间震荡，期价需要等待现货新一轮上涨，但不排除期现货市场抢跑的可能性。在这种情况下，近月更多关注现货与基差，而远月更多关注仔猪价格走势。据此我们中期谨慎看多，短期暂维持中性观点，建议投资者暂以观望为宜，等待入场机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从原料成本角度看，考虑到鸡蛋养殖利润因行业供需处于往年同期低位，饲料成本因素对鸡蛋养殖利润的影响或相对大于生猪，在这种情况下，需要特别留意饲料原料即豆粕和玉米上涨的持续性。近期由于国内外饲料原料即豆粕和玉米期现货反弹，而南方持续降雨带来蔬菜缺口继而催生鸡蛋阶段性补库，现货反弹带来市场预期的变化，但我们更担心年后的情况再度出现，即现货反弹导致养殖户补栏积极性回升，淘汰积极性下降，使得行业去产能进程出现中断。在这种情况下，我们倾向于期价继续上涨空间或有限。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5822"/>
      <w:r>
        <w:rPr>
          <w:rFonts w:hint="eastAsia" w:ascii="楷体" w:hAnsi="楷体" w:eastAsia="楷体"/>
          <w:b/>
          <w:bCs/>
          <w:color w:val="000000" w:themeColor="text1"/>
          <w14:textFill>
            <w14:solidFill>
              <w14:schemeClr w14:val="tx1"/>
            </w14:solidFill>
          </w14:textFill>
        </w:rPr>
        <w:t>白糖：国外供应强劲，糖价再度下跌</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纽约ICE原糖主力合约下跌1.27%，伦敦ICE白砂糖主力合约下跌1.75%。根据昨日UNICA公布数据，四月下半月巴西中南部甘蔗压榨量为3457万吨，较去年同期增长61.3%；糖产量为184万吨，同比增长84.25%。巴西糖产量大幅增加，国际市场处于供大于求的状态，期价承压运行。国内昨日夜盘白糖主力合约下跌0.61%。根据农业农村部上周五公布的供需预测，24/25年度甘蔗种植面积略增、甜菜种植面积大增，食糖产量保持恢复性增长，有望增至1100万吨，而消费量基本持平，国内食糖产需缺口缩小。基于当前供需格局分析，24/25年度产量增加或导致期价下降。但目前短期内外糖价都处于低位，期价寻求支撑，需留意价格反弹，预计盘面震荡整理，建议投资者暂时观望。</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21658"/>
      <w:r>
        <w:rPr>
          <w:rFonts w:hint="eastAsia" w:ascii="楷体" w:hAnsi="楷体" w:eastAsia="楷体"/>
          <w:b/>
          <w:bCs/>
          <w:color w:val="000000" w:themeColor="text1"/>
          <w14:textFill>
            <w14:solidFill>
              <w14:schemeClr w14:val="tx1"/>
            </w14:solidFill>
          </w14:textFill>
        </w:rPr>
        <w:t>棉花：美棉反弹，郑棉小幅下跌</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棉价格上涨1.11%，或是价格低位市场情绪看多导致，但基本面因素没有改变。截至5月14日，ICE可交割2号棉合约库存较上一交易日增加4470包，库存再次累积，供应端宽松压制棉价。巴西预估产量上调也给棉价造成压力。根据Conab周二昨日公布数据，巴西23/24年度产量估计为364.35万吨，较去年增长14.8%。国内昨日夜盘棉花主力合约下跌0.17%，收盘价跌破15000，为14945元/吨；棉纱主力合约下跌0.26%。4月中国棉纺织行业PMI为40.60%，环比下降12.15%，再度降至枯荣线以下，下游需求依旧疲弱。国内整体表现为供需双弱但需求更弱。此外，新年度天气良好，暂时没有炒作空间，短期来看或仍维持弱势震荡走势，建议投资者保持观望态度。</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27212"/>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5973"/>
      <w:r>
        <w:rPr>
          <w:rFonts w:hint="eastAsia" w:ascii="Times New Roman" w:hAnsi="Times New Roman" w:eastAsia="楷体"/>
          <w:b/>
          <w:color w:val="000000" w:themeColor="text1"/>
          <w:sz w:val="24"/>
          <w:szCs w:val="24"/>
          <w14:textFill>
            <w14:solidFill>
              <w14:schemeClr w14:val="tx1"/>
            </w14:solidFill>
          </w14:textFill>
        </w:rPr>
        <w:t>集运指数（欧线）：移仓换月进行时，期价走势仍然偏强</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 5月10日公布SCFI数据，上海港出口至欧洲基本港市场运价（海运及海运附加费）为2869美元/TEU，较上期大幅上涨24.7%。5月13日，上海出口集装箱结算运价指数（SCFIS）欧洲航线运价指数环比上涨13.7%。从实际结算价表现来看，上涨幅度速度略不如订舱价格。</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冲突仍存，一定程度上对盘面造成情绪上的扰动，短期利好因素释放但前期期货价格已连续多日创出新高，市场出现对未来价格维持高位的担忧。预计期价将短期维持强震荡形态，建议观望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12779"/>
      <w:bookmarkStart w:id="41" w:name="_Toc72481108"/>
      <w:bookmarkStart w:id="42" w:name="_Toc71212556"/>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2024年5月16日星期四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3D146B7"/>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9B63EF"/>
    <w:rsid w:val="49BF13F0"/>
    <w:rsid w:val="49D75468"/>
    <w:rsid w:val="49E169F0"/>
    <w:rsid w:val="4A4A74EF"/>
    <w:rsid w:val="4A6F6249"/>
    <w:rsid w:val="4AB74C38"/>
    <w:rsid w:val="4B14426D"/>
    <w:rsid w:val="4B6224E5"/>
    <w:rsid w:val="4B8C4A56"/>
    <w:rsid w:val="4BF97936"/>
    <w:rsid w:val="4C2C4D07"/>
    <w:rsid w:val="4C457E30"/>
    <w:rsid w:val="4D2A3925"/>
    <w:rsid w:val="4D597189"/>
    <w:rsid w:val="4DB20386"/>
    <w:rsid w:val="4DF02D90"/>
    <w:rsid w:val="4E665CB5"/>
    <w:rsid w:val="4F7D0512"/>
    <w:rsid w:val="4FBA2B77"/>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31DDA"/>
    <w:rsid w:val="784F7772"/>
    <w:rsid w:val="78713929"/>
    <w:rsid w:val="78E55995"/>
    <w:rsid w:val="79267C0B"/>
    <w:rsid w:val="79C90FB7"/>
    <w:rsid w:val="7A4975BA"/>
    <w:rsid w:val="7A5B105F"/>
    <w:rsid w:val="7A9E5DA7"/>
    <w:rsid w:val="7ABE4B56"/>
    <w:rsid w:val="7B264F79"/>
    <w:rsid w:val="7B3E5659"/>
    <w:rsid w:val="7BCC4162"/>
    <w:rsid w:val="7CD80967"/>
    <w:rsid w:val="7D0C2828"/>
    <w:rsid w:val="7D902239"/>
    <w:rsid w:val="7EAF7817"/>
    <w:rsid w:val="7F78012E"/>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0</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2024-05-16T02:50:17Z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