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_Toc27317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_Toc25548 </w:instrText>
          </w:r>
          <w:r>
            <w:rPr>
              <w:bCs/>
            </w:rPr>
            <w:fldChar w:fldCharType="separate"/>
          </w:r>
          <w:r>
            <w:rPr>
              <w:rFonts w:hint="eastAsia" w:ascii="Times New Roman" w:hAnsi="Times New Roman" w:eastAsia="楷体"/>
              <w:szCs w:val="24"/>
            </w:rPr>
            <w:t>股指：震荡，中枢或逐步上移</w:t>
          </w:r>
          <w:r>
            <w:rPr>
              <w:bCs/>
            </w:rPr>
            <w:fldChar w:fldCharType="end"/>
          </w:r>
        </w:p>
        <w:p>
          <w:pPr>
            <w:pStyle w:val="59"/>
            <w:tabs>
              <w:tab w:val="right" w:leader="dot" w:pos="8306"/>
            </w:tabs>
          </w:pPr>
          <w:r>
            <w:rPr>
              <w:bCs/>
            </w:rPr>
            <w:fldChar w:fldCharType="begin"/>
          </w:r>
          <w:r>
            <w:rPr>
              <w:bCs/>
            </w:rPr>
            <w:instrText xml:space="preserve"> HYPERLINK \l _Toc5490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_Toc7596 </w:instrText>
          </w:r>
          <w:r>
            <w:rPr>
              <w:bCs/>
            </w:rPr>
            <w:fldChar w:fldCharType="separate"/>
          </w:r>
          <w:r>
            <w:rPr>
              <w:rFonts w:hint="eastAsia" w:ascii="Times New Roman" w:hAnsi="Times New Roman" w:eastAsia="楷体"/>
              <w:szCs w:val="24"/>
            </w:rPr>
            <w:t>贵金属：美国PPI生产端通胀超预期，贵金属价格小幅上涨</w:t>
          </w:r>
          <w:r>
            <w:rPr>
              <w:bCs/>
            </w:rPr>
            <w:fldChar w:fldCharType="end"/>
          </w:r>
        </w:p>
        <w:p>
          <w:pPr>
            <w:pStyle w:val="59"/>
            <w:tabs>
              <w:tab w:val="right" w:leader="dot" w:pos="8306"/>
            </w:tabs>
          </w:pPr>
          <w:r>
            <w:rPr>
              <w:bCs/>
            </w:rPr>
            <w:fldChar w:fldCharType="begin"/>
          </w:r>
          <w:r>
            <w:rPr>
              <w:bCs/>
            </w:rPr>
            <w:instrText xml:space="preserve"> HYPERLINK \l _Toc4525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_Toc8976 </w:instrText>
          </w:r>
          <w:r>
            <w:rPr>
              <w:bCs/>
            </w:rPr>
            <w:fldChar w:fldCharType="separate"/>
          </w:r>
          <w:r>
            <w:rPr>
              <w:rFonts w:hint="eastAsia" w:ascii="楷体" w:hAnsi="楷体" w:eastAsia="楷体"/>
              <w:szCs w:val="24"/>
            </w:rPr>
            <w:t>碳酸锂：供应存增量预期，期价下跌至前期震荡区间下沿</w:t>
          </w:r>
          <w:r>
            <w:rPr>
              <w:bCs/>
            </w:rPr>
            <w:fldChar w:fldCharType="end"/>
          </w:r>
        </w:p>
        <w:p>
          <w:pPr>
            <w:pStyle w:val="74"/>
            <w:tabs>
              <w:tab w:val="right" w:leader="dot" w:pos="8306"/>
            </w:tabs>
          </w:pPr>
          <w:r>
            <w:rPr>
              <w:bCs/>
            </w:rPr>
            <w:fldChar w:fldCharType="begin"/>
          </w:r>
          <w:r>
            <w:rPr>
              <w:bCs/>
            </w:rPr>
            <w:instrText xml:space="preserve"> HYPERLINK \l _Toc11366 </w:instrText>
          </w:r>
          <w:r>
            <w:rPr>
              <w:bCs/>
            </w:rPr>
            <w:fldChar w:fldCharType="separate"/>
          </w:r>
          <w:r>
            <w:rPr>
              <w:rFonts w:hint="eastAsia" w:ascii="楷体" w:hAnsi="楷体" w:eastAsia="楷体"/>
              <w:szCs w:val="24"/>
            </w:rPr>
            <w:t>铝：铝价区间窄幅震荡</w:t>
          </w:r>
          <w:r>
            <w:rPr>
              <w:bCs/>
            </w:rPr>
            <w:fldChar w:fldCharType="end"/>
          </w:r>
        </w:p>
        <w:p>
          <w:pPr>
            <w:pStyle w:val="74"/>
            <w:tabs>
              <w:tab w:val="right" w:leader="dot" w:pos="8306"/>
            </w:tabs>
          </w:pPr>
          <w:r>
            <w:rPr>
              <w:bCs/>
            </w:rPr>
            <w:fldChar w:fldCharType="begin"/>
          </w:r>
          <w:r>
            <w:rPr>
              <w:bCs/>
            </w:rPr>
            <w:instrText xml:space="preserve"> HYPERLINK \l _Toc1751 </w:instrText>
          </w:r>
          <w:r>
            <w:rPr>
              <w:bCs/>
            </w:rPr>
            <w:fldChar w:fldCharType="separate"/>
          </w:r>
          <w:r>
            <w:rPr>
              <w:rFonts w:hint="eastAsia" w:ascii="楷体" w:hAnsi="楷体" w:eastAsia="楷体"/>
              <w:szCs w:val="24"/>
            </w:rPr>
            <w:t>锌：锌价高位震荡</w:t>
          </w:r>
          <w:r>
            <w:rPr>
              <w:bCs/>
            </w:rPr>
            <w:fldChar w:fldCharType="end"/>
          </w:r>
        </w:p>
        <w:p>
          <w:pPr>
            <w:pStyle w:val="74"/>
            <w:tabs>
              <w:tab w:val="right" w:leader="dot" w:pos="8306"/>
            </w:tabs>
          </w:pPr>
          <w:r>
            <w:rPr>
              <w:bCs/>
            </w:rPr>
            <w:fldChar w:fldCharType="begin"/>
          </w:r>
          <w:r>
            <w:rPr>
              <w:bCs/>
            </w:rPr>
            <w:instrText xml:space="preserve"> HYPERLINK \l _Toc18267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：国内库存继续累增，铜价上冲动力受阻</w:t>
          </w:r>
          <w:r>
            <w:rPr>
              <w:bCs/>
            </w:rPr>
            <w:fldChar w:fldCharType="end"/>
          </w:r>
        </w:p>
        <w:p>
          <w:pPr>
            <w:pStyle w:val="74"/>
            <w:tabs>
              <w:tab w:val="right" w:leader="dot" w:pos="8306"/>
            </w:tabs>
          </w:pPr>
          <w:r>
            <w:rPr>
              <w:bCs/>
            </w:rPr>
            <w:fldChar w:fldCharType="begin"/>
          </w:r>
          <w:r>
            <w:rPr>
              <w:bCs/>
            </w:rPr>
            <w:instrText xml:space="preserve"> HYPERLINK \l _Toc15546 </w:instrText>
          </w:r>
          <w:r>
            <w:rPr>
              <w:bCs/>
            </w:rPr>
            <w:fldChar w:fldCharType="separate"/>
          </w:r>
          <w:r>
            <w:rPr>
              <w:rFonts w:hint="eastAsia" w:ascii="楷体" w:hAnsi="楷体" w:eastAsia="楷体"/>
              <w:szCs w:val="24"/>
            </w:rPr>
            <w:t>镍：短期镍价存在回调压力</w:t>
          </w:r>
          <w:r>
            <w:rPr>
              <w:bCs/>
            </w:rPr>
            <w:fldChar w:fldCharType="end"/>
          </w:r>
        </w:p>
        <w:p>
          <w:pPr>
            <w:pStyle w:val="74"/>
            <w:tabs>
              <w:tab w:val="right" w:leader="dot" w:pos="8306"/>
            </w:tabs>
          </w:pPr>
          <w:r>
            <w:rPr>
              <w:bCs/>
            </w:rPr>
            <w:fldChar w:fldCharType="begin"/>
          </w:r>
          <w:r>
            <w:rPr>
              <w:bCs/>
            </w:rPr>
            <w:instrText xml:space="preserve"> HYPERLINK \l _Toc1162 </w:instrText>
          </w:r>
          <w:r>
            <w:rPr>
              <w:bCs/>
            </w:rPr>
            <w:fldChar w:fldCharType="separate"/>
          </w:r>
          <w:r>
            <w:rPr>
              <w:rFonts w:hint="eastAsia" w:ascii="楷体" w:hAnsi="楷体" w:eastAsia="楷体"/>
              <w:szCs w:val="24"/>
            </w:rPr>
            <w:t>不锈钢：上下两难，区间震荡为主</w:t>
          </w:r>
          <w:r>
            <w:rPr>
              <w:bCs/>
            </w:rPr>
            <w:fldChar w:fldCharType="end"/>
          </w:r>
        </w:p>
        <w:p>
          <w:pPr>
            <w:pStyle w:val="74"/>
            <w:tabs>
              <w:tab w:val="right" w:leader="dot" w:pos="8306"/>
            </w:tabs>
          </w:pPr>
          <w:r>
            <w:rPr>
              <w:bCs/>
            </w:rPr>
            <w:fldChar w:fldCharType="begin"/>
          </w:r>
          <w:r>
            <w:rPr>
              <w:bCs/>
            </w:rPr>
            <w:instrText xml:space="preserve"> HYPERLINK \l _Toc3905 </w:instrText>
          </w:r>
          <w:r>
            <w:rPr>
              <w:bCs/>
            </w:rPr>
            <w:fldChar w:fldCharType="separate"/>
          </w:r>
          <w:r>
            <w:rPr>
              <w:rFonts w:hint="eastAsia" w:ascii="楷体" w:hAnsi="楷体" w:eastAsia="楷体"/>
              <w:szCs w:val="24"/>
            </w:rPr>
            <w:t>工业硅：仓单大幅增加，盘面或将偏弱运行</w:t>
          </w:r>
          <w:r>
            <w:rPr>
              <w:bCs/>
            </w:rPr>
            <w:fldChar w:fldCharType="end"/>
          </w:r>
        </w:p>
        <w:p>
          <w:pPr>
            <w:pStyle w:val="59"/>
            <w:tabs>
              <w:tab w:val="right" w:leader="dot" w:pos="8306"/>
            </w:tabs>
          </w:pPr>
          <w:r>
            <w:rPr>
              <w:bCs/>
            </w:rPr>
            <w:fldChar w:fldCharType="begin"/>
          </w:r>
          <w:r>
            <w:rPr>
              <w:bCs/>
            </w:rPr>
            <w:instrText xml:space="preserve"> HYPERLINK \l _Toc31447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_Toc15954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成本端止跌 天胶短期下方空间有限</w:t>
          </w:r>
          <w:r>
            <w:rPr>
              <w:bCs/>
            </w:rPr>
            <w:fldChar w:fldCharType="end"/>
          </w:r>
        </w:p>
        <w:p>
          <w:pPr>
            <w:pStyle w:val="74"/>
            <w:tabs>
              <w:tab w:val="right" w:leader="dot" w:pos="8306"/>
            </w:tabs>
          </w:pPr>
          <w:r>
            <w:rPr>
              <w:bCs/>
            </w:rPr>
            <w:fldChar w:fldCharType="begin"/>
          </w:r>
          <w:r>
            <w:rPr>
              <w:bCs/>
            </w:rPr>
            <w:instrText xml:space="preserve"> HYPERLINK \l _Toc9435 </w:instrText>
          </w:r>
          <w:r>
            <w:rPr>
              <w:bCs/>
            </w:rPr>
            <w:fldChar w:fldCharType="separate"/>
          </w:r>
          <w:r>
            <w:rPr>
              <w:rFonts w:hint="eastAsia" w:ascii="楷体" w:hAnsi="楷体" w:eastAsia="楷体"/>
              <w:szCs w:val="24"/>
            </w:rPr>
            <w:t>聚烯烃：供需双弱 聚烯烃或回调为主</w:t>
          </w:r>
          <w:r>
            <w:rPr>
              <w:bCs/>
            </w:rPr>
            <w:fldChar w:fldCharType="end"/>
          </w:r>
        </w:p>
        <w:p>
          <w:pPr>
            <w:pStyle w:val="74"/>
            <w:tabs>
              <w:tab w:val="right" w:leader="dot" w:pos="8306"/>
            </w:tabs>
          </w:pPr>
          <w:r>
            <w:rPr>
              <w:bCs/>
            </w:rPr>
            <w:fldChar w:fldCharType="begin"/>
          </w:r>
          <w:r>
            <w:rPr>
              <w:bCs/>
            </w:rPr>
            <w:instrText xml:space="preserve"> HYPERLINK \l _Toc21319 </w:instrText>
          </w:r>
          <w:r>
            <w:rPr>
              <w:bCs/>
            </w:rPr>
            <w:fldChar w:fldCharType="separate"/>
          </w:r>
          <w:r>
            <w:rPr>
              <w:rFonts w:hint="eastAsia" w:ascii="楷体" w:hAnsi="楷体" w:eastAsia="楷体"/>
              <w:szCs w:val="24"/>
            </w:rPr>
            <w:t>玻璃：矛盾积累期，期价回调</w:t>
          </w:r>
          <w:r>
            <w:rPr>
              <w:bCs/>
            </w:rPr>
            <w:fldChar w:fldCharType="end"/>
          </w:r>
        </w:p>
        <w:p>
          <w:pPr>
            <w:pStyle w:val="74"/>
            <w:tabs>
              <w:tab w:val="right" w:leader="dot" w:pos="8306"/>
            </w:tabs>
          </w:pPr>
          <w:r>
            <w:rPr>
              <w:bCs/>
            </w:rPr>
            <w:fldChar w:fldCharType="begin"/>
          </w:r>
          <w:r>
            <w:rPr>
              <w:bCs/>
            </w:rPr>
            <w:instrText xml:space="preserve"> HYPERLINK \l _Toc799 </w:instrText>
          </w:r>
          <w:r>
            <w:rPr>
              <w:bCs/>
            </w:rPr>
            <w:fldChar w:fldCharType="separate"/>
          </w:r>
          <w:r>
            <w:rPr>
              <w:rFonts w:hint="eastAsia" w:ascii="楷体" w:hAnsi="楷体" w:eastAsia="楷体"/>
              <w:szCs w:val="24"/>
            </w:rPr>
            <w:t>纯碱：现货市场稳价，期价高位震荡</w:t>
          </w:r>
          <w:r>
            <w:rPr>
              <w:bCs/>
            </w:rPr>
            <w:fldChar w:fldCharType="end"/>
          </w:r>
        </w:p>
        <w:p>
          <w:pPr>
            <w:pStyle w:val="59"/>
            <w:tabs>
              <w:tab w:val="right" w:leader="dot" w:pos="8306"/>
            </w:tabs>
          </w:pPr>
          <w:r>
            <w:rPr>
              <w:bCs/>
            </w:rPr>
            <w:fldChar w:fldCharType="begin"/>
          </w:r>
          <w:r>
            <w:rPr>
              <w:bCs/>
            </w:rPr>
            <w:instrText xml:space="preserve"> HYPERLINK \l _Toc24241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_Toc30042 </w:instrText>
          </w:r>
          <w:r>
            <w:rPr>
              <w:bCs/>
            </w:rPr>
            <w:fldChar w:fldCharType="separate"/>
          </w:r>
          <w:r>
            <w:rPr>
              <w:rFonts w:hint="eastAsia" w:ascii="楷体" w:hAnsi="楷体" w:eastAsia="楷体"/>
              <w:bCs/>
            </w:rPr>
            <w:t>玉米与淀粉：</w:t>
          </w:r>
          <w:r>
            <w:rPr>
              <w:rFonts w:hint="eastAsia" w:ascii="楷体" w:hAnsi="楷体" w:eastAsia="楷体"/>
            </w:rPr>
            <w:t>期价高位震荡</w:t>
          </w:r>
          <w:r>
            <w:rPr>
              <w:bCs/>
            </w:rPr>
            <w:fldChar w:fldCharType="end"/>
          </w:r>
        </w:p>
        <w:p>
          <w:pPr>
            <w:pStyle w:val="74"/>
            <w:tabs>
              <w:tab w:val="right" w:leader="dot" w:pos="8306"/>
            </w:tabs>
          </w:pPr>
          <w:r>
            <w:rPr>
              <w:bCs/>
            </w:rPr>
            <w:fldChar w:fldCharType="begin"/>
          </w:r>
          <w:r>
            <w:rPr>
              <w:bCs/>
            </w:rPr>
            <w:instrText xml:space="preserve"> HYPERLINK \l _Toc13617 </w:instrText>
          </w:r>
          <w:r>
            <w:rPr>
              <w:bCs/>
            </w:rPr>
            <w:fldChar w:fldCharType="separate"/>
          </w:r>
          <w:r>
            <w:rPr>
              <w:rFonts w:hint="eastAsia" w:ascii="楷体" w:hAnsi="楷体" w:eastAsia="楷体"/>
              <w:bCs/>
            </w:rPr>
            <w:t>畜禽养殖：鸡蛋期价多有回落</w:t>
          </w:r>
          <w:r>
            <w:rPr>
              <w:bCs/>
            </w:rPr>
            <w:fldChar w:fldCharType="end"/>
          </w:r>
        </w:p>
        <w:p>
          <w:pPr>
            <w:pStyle w:val="74"/>
            <w:tabs>
              <w:tab w:val="right" w:leader="dot" w:pos="8306"/>
            </w:tabs>
          </w:pPr>
          <w:r>
            <w:rPr>
              <w:bCs/>
            </w:rPr>
            <w:fldChar w:fldCharType="begin"/>
          </w:r>
          <w:r>
            <w:rPr>
              <w:bCs/>
            </w:rPr>
            <w:instrText xml:space="preserve"> HYPERLINK \l _Toc10855 </w:instrText>
          </w:r>
          <w:r>
            <w:rPr>
              <w:bCs/>
            </w:rPr>
            <w:fldChar w:fldCharType="separate"/>
          </w:r>
          <w:r>
            <w:rPr>
              <w:rFonts w:hint="eastAsia" w:ascii="楷体" w:hAnsi="楷体" w:eastAsia="楷体"/>
              <w:bCs/>
            </w:rPr>
            <w:t>白糖：内外走势分化，长期下行趋势</w:t>
          </w:r>
          <w:r>
            <w:rPr>
              <w:bCs/>
            </w:rPr>
            <w:fldChar w:fldCharType="end"/>
          </w:r>
        </w:p>
        <w:p>
          <w:pPr>
            <w:pStyle w:val="74"/>
            <w:tabs>
              <w:tab w:val="right" w:leader="dot" w:pos="8306"/>
            </w:tabs>
          </w:pPr>
          <w:r>
            <w:rPr>
              <w:bCs/>
            </w:rPr>
            <w:fldChar w:fldCharType="begin"/>
          </w:r>
          <w:r>
            <w:rPr>
              <w:bCs/>
            </w:rPr>
            <w:instrText xml:space="preserve"> HYPERLINK \l _Toc11273 </w:instrText>
          </w:r>
          <w:r>
            <w:rPr>
              <w:bCs/>
            </w:rPr>
            <w:fldChar w:fldCharType="separate"/>
          </w:r>
          <w:r>
            <w:rPr>
              <w:rFonts w:hint="eastAsia" w:ascii="楷体" w:hAnsi="楷体" w:eastAsia="楷体"/>
              <w:bCs/>
            </w:rPr>
            <w:t>棉花：美棉再次大跌，郑棉跟随变动</w:t>
          </w:r>
          <w:r>
            <w:rPr>
              <w:bCs/>
            </w:rPr>
            <w:fldChar w:fldCharType="end"/>
          </w:r>
        </w:p>
        <w:p>
          <w:pPr>
            <w:pStyle w:val="59"/>
            <w:tabs>
              <w:tab w:val="right" w:leader="dot" w:pos="8306"/>
            </w:tabs>
          </w:pPr>
          <w:r>
            <w:rPr>
              <w:bCs/>
            </w:rPr>
            <w:fldChar w:fldCharType="begin"/>
          </w:r>
          <w:r>
            <w:rPr>
              <w:bCs/>
            </w:rPr>
            <w:instrText xml:space="preserve"> HYPERLINK \l _Toc17669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_Toc7001 </w:instrText>
          </w:r>
          <w:r>
            <w:rPr>
              <w:bCs/>
            </w:rPr>
            <w:fldChar w:fldCharType="separate"/>
          </w:r>
          <w:r>
            <w:rPr>
              <w:rFonts w:hint="eastAsia" w:ascii="Times New Roman" w:hAnsi="Times New Roman" w:eastAsia="楷体"/>
              <w:szCs w:val="24"/>
            </w:rPr>
            <w:t>集运指数（欧线）：最新SCFIS欧线涨幅略逊预期，EC合约冲高回落</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731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554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震荡，中枢或逐步上移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内需依然薄弱，在市场经历过轮动普涨后，或给市场带来一定波折。政策面及资本市场新规为中长期提供一定支撑，但短期向上爆发力不足。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549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7596"/>
      <w:r>
        <w:rPr>
          <w:rFonts w:hint="eastAsia" w:ascii="Times New Roman" w:hAnsi="Times New Roman" w:eastAsia="楷体"/>
          <w:b/>
          <w:color w:val="000000" w:themeColor="text1"/>
          <w:sz w:val="24"/>
          <w:szCs w:val="24"/>
          <w14:textFill>
            <w14:solidFill>
              <w14:schemeClr w14:val="tx1"/>
            </w14:solidFill>
          </w14:textFill>
        </w:rPr>
        <w:t>贵金属：美国PPI生产端通胀超预期，贵金属价格小幅上涨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0.64%至559.62元/克，沪银涨0.60%至7377元/千克。美国4月PPI环比增0.5%，超出预期的0.3%，3月份数据修正为-0.1%；PPI同比增2.2%，增速创12个月新高，符合市场预期，前值为2.1%。美联储主席鲍威尔表示，美联储需要保持耐心，等待更多证据表明高利率正在抑制通胀，因此需要在更长时间内保持利率在高位；不认为下一步行动可能是加息，更有可能将政策利率维持在现有水平。美联储梅斯特表示，现在断言通胀将逆转为时过早；美联储维持利率不变是适当的，因为其在等待价格压力进一步缓解的证据；不急于考虑加息。本周关注美国CPI通胀以及零售销售月率等经济数据更新情况，当前市场预计4月美国CPI同比增速或小幅放缓至增3.4%，核心CPI同比增速或放缓至3.6%。PPI生产端通胀增速表现超预期，海外市场下调降息预期，但因鲍威尔主席表态消除加息疑虑，贵金属短线小幅反弹。暂时而言，年内降息仍为大概率事件，全球央行持续购金亦对金价形成一定支撑，建议贵金属中长期思路以偏多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452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8976"/>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碳酸锂：供应存增量预期，期价下跌至前期震荡区间下沿</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略微下探，期价进一步下跌试探春节以来的震荡区间下沿，07合约收跌2.05%至105000元/吨。江特电机公告表示，公司取得茜坑锂矿采矿许可证，开采年限30年；本次锂矿采矿权证获批后将大幅提高公司锂矿自给率，进一步降低生产成本。SMM预测5月碳酸锂产量约为60100吨，环比增14%。进口持续存在增量预期，也对供应形成补充，4月智利碳酸锂出口至国内约22900吨，环比增42.27%，同比增162.25%。三元材料排产下滑，进口增加、下游磷酸铁锂产量增速放缓，终端对碳酸锂需求的拉动作用仍有待观察，需求端增速放缓而供应过剩情况或有所加剧。下游采购补库多数于五一前完成，少数企业逢低价少量采购，整体维持观望情绪期价或偏弱运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1366"/>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铝价区间窄幅震荡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4月PPI数据上涨超预期，市场对降息乐观态度发生修正，美国对华电动汽车加征关税，中美关系边际变化，宏观情绪承压。伦铝大幅交仓对沪铝价格影响有限，基本面上看，国内电解铝供应稳定，云南复产带来部分铝水增长，下游需求表现韧性仍存，铝价重心上移价格难跌，短期价格或窄幅震荡在20000-21000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751"/>
      <w:r>
        <w:rPr>
          <w:rFonts w:hint="eastAsia" w:ascii="楷体" w:hAnsi="楷体" w:eastAsia="楷体"/>
          <w:b/>
          <w:color w:val="000000" w:themeColor="text1"/>
          <w:sz w:val="24"/>
          <w:szCs w:val="24"/>
          <w14:textFill>
            <w14:solidFill>
              <w14:schemeClr w14:val="tx1"/>
            </w14:solidFill>
          </w14:textFill>
        </w:rPr>
        <w:t>锌：锌价高位震荡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通胀未达目标，4月PPI数据超预期表现，美国对华出口电动汽车征税，对俄市场制裁，全球市场情绪紧张，宏观转空。矿端紧缺限制扩产，海外有色冶炼龙头Nyrstar计划复产增强海外供应预期，国内冶炼保持高产但生产利润亏损，库存历史相对高位拐入去库，海内外需求边际修复，锌价成本端支撑，短期高位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8267"/>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：国内库存继续累增，铜价上冲动力受阻</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(1)宏观：4月美国PPI较上月的数据环比上升0.5%，高于3月份修正后的-0.1%，也超出预期的0.3%；PPI同比上升2.2%，略高于前值的2.1%，创下2023年4月以来的新高，与市场预期值一致。</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(2)库存：5月14日，SHFE仓单库存235779吨，增10011吨；LME仓单库存104750吨，增1650吨。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(3)精废价差：5月14日，Mysteel精废价差4134，扩张379。目前价差在合理价差1516之上。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4月PPI上涨幅度超过预期，表明通胀压力需要更长时间才能缓解。鲍威尔重申，下一步行动不太可能是加息，美联储更有可能将政策利率维持在现有水平。基本面层面的供应收缩预期交易逻辑仍在持续，进口铜精矿指数跌至负数，但国内库存继续累增，弱现实状态下仍需注意后续铜价动力，观察内外盘多头持仓仍维持高位，但近期价格上涨过程中成交量并未同步跟上，仍需谨防冲高后回调补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5546"/>
      <w:r>
        <w:rPr>
          <w:rFonts w:hint="eastAsia" w:ascii="楷体" w:hAnsi="楷体" w:eastAsia="楷体"/>
          <w:b/>
          <w:color w:val="000000" w:themeColor="text1"/>
          <w:sz w:val="24"/>
          <w:szCs w:val="24"/>
          <w14:textFill>
            <w14:solidFill>
              <w14:schemeClr w14:val="tx1"/>
            </w14:solidFill>
          </w14:textFill>
        </w:rPr>
        <w:t>镍：短期镍价存在回调压力</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端，印尼镍矿流通资源仍偏紧，镍矿价格维持高位；镍铁价格偏强运行；印尼镍中间品延期到港，价格折扣系数处于偏高水平；硫酸镍在原料偏紧情况下供应不及预期，但下游需求表现疲弱，预计短期硫酸镍价格持稳为主，为电积镍带来成本支撑。供应端，精炼镍产能维持高位，Mysteel预计5月国内精炼镍产量预计2.65万吨，环比增加6.37%。需求端，精炼镍下游成交以刚需采购为主。终端来看，三元电芯龙头企业减产，加上成品库存高企，对镍需求疲软；不锈钢厂5月排产维持高位，存有采购需求。综合而言，美国4月PPI数据高于预期，下修美联储降息预期，预计宏观情绪边际降温，加上基本面偏弱，短期镍价存回调压力。</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162"/>
      <w:r>
        <w:rPr>
          <w:rFonts w:hint="eastAsia" w:ascii="楷体" w:hAnsi="楷体" w:eastAsia="楷体"/>
          <w:b/>
          <w:color w:val="000000" w:themeColor="text1"/>
          <w:sz w:val="24"/>
          <w:szCs w:val="24"/>
          <w14:textFill>
            <w14:solidFill>
              <w14:schemeClr w14:val="tx1"/>
            </w14:solidFill>
          </w14:textFill>
        </w:rPr>
        <w:t>不锈钢：上下两难，区间震荡为主</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镍矿端，印尼镍矿流通资源仍偏紧，预计镍矿价格坚挺。镍铁端，据Mysteel调研，最新高镍生铁成交价为990元/镍（到厂含税），不锈钢成本支撑走强。供应方面， 5月不锈钢厂排产维持高位，Mysteel预计排产373万吨左右。需求方面，期价偏高对下游需求带来抑制，近期下游成交未有起色；终端来看，近期多地放开楼市限购等宏观政策有助于地产市场恢复，关注实际需求兑现情况。库存方面，上周社会库存累库2.66%，仓单库存处于历史高点。综合而言，一方面，印尼镍矿供应偏紧及镍铁价格高位为不锈钢带来较强底部支撑；另一方面，美国4月通胀数据高于预期，宏观情绪或边际转弱，且仓单库存压力明显，短期不锈钢价格上下两难，预计在13800-14500区间震荡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390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仓单大幅增加，盘面或将偏弱运行</w:t>
      </w:r>
      <w:bookmarkEnd w:id="25"/>
    </w:p>
    <w:p>
      <w:pPr>
        <w:ind w:left="630" w:leftChars="300"/>
        <w:rPr>
          <w:rFonts w:ascii="楷体" w:hAnsi="楷体" w:eastAsia="楷体"/>
          <w:sz w:val="24"/>
          <w:szCs w:val="24"/>
        </w:rPr>
      </w:pPr>
      <w:r>
        <w:rPr>
          <w:rFonts w:hint="eastAsia" w:ascii="楷体" w:hAnsi="楷体" w:eastAsia="楷体"/>
          <w:sz w:val="24"/>
          <w:szCs w:val="24"/>
        </w:rPr>
        <w:t>5月14日，Si2407主力合约呈下行走势，收盘价12810元/吨，较上一收盘价涨跌幅-2.03%。从基本面来看，北方产区处于开工高位，随着西南步入平水期，当地工厂已开始季节性复产，后续仍存在较大复产空间，但是需求端暂无出现改善情况，存在转向宽松预期。近两日，仓单注册量出现较大幅度增加，仓单压力进一步增加，预计盘面将偏弱运行，参考区间（11500，12300）。策略上，建议波段操作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31447"/>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595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成本端止跌 天胶短期下方空间有限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持续去化。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短期天胶上方压力受泰国即将进入旺产季节影响依旧较大，胶价或震荡整理为主。</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9435"/>
      <w:r>
        <w:rPr>
          <w:rFonts w:hint="eastAsia" w:ascii="楷体" w:hAnsi="楷体" w:eastAsia="楷体"/>
          <w:b/>
          <w:color w:val="000000" w:themeColor="text1"/>
          <w:sz w:val="24"/>
          <w:szCs w:val="24"/>
          <w14:textFill>
            <w14:solidFill>
              <w14:schemeClr w14:val="tx1"/>
            </w14:solidFill>
          </w14:textFill>
        </w:rPr>
        <w:t>聚烯烃：供需双弱 聚烯烃或回调为主</w:t>
      </w:r>
      <w:bookmarkEnd w:id="29"/>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聚烯烃供需双弱，成本端波动较大，预计聚烯烃回调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0" w:name="_Toc21319"/>
      <w:r>
        <w:rPr>
          <w:rFonts w:hint="eastAsia" w:ascii="楷体" w:hAnsi="楷体" w:eastAsia="楷体"/>
          <w:b/>
          <w:color w:val="000000" w:themeColor="text1"/>
          <w:sz w:val="24"/>
          <w:szCs w:val="24"/>
          <w14:textFill>
            <w14:solidFill>
              <w14:schemeClr w14:val="tx1"/>
            </w14:solidFill>
          </w14:textFill>
        </w:rPr>
        <w:t>玻璃：矛盾积累期，期价回调</w:t>
      </w:r>
      <w:bookmarkEnd w:id="3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5月14日报道:今日浮法玻璃现货价格1693元/吨，较上一交易日持平。供给上，日熔量17.35万吨/天。库存上，截止到20240509，全国浮法玻璃样本企业总库存6120.6万重箱，环比-60.9万重箱，环比-0.99%，同比+32.7%，小幅去库。现货端，华北、华中地区产销走强，华南地区刚需备货，周内产销边际走弱。宏观方面国内4月30日政治局会议提到房地产化解存量优化增量，提振市场对地产化债问题解决的信心，多一线城市全面取消限购，房价短期来看有一定企稳迹象，本周再度发行特别长国债，整体宏观预期偏强，盘面上，终端实际需求不温不火，宏观强预期驱动期价上行升水现货，未见到连续累库之前，下半年地产需求由弱转强预期无法证伪，但弱现实压制上方空间，期价升水之后追多风险加大，投机情绪减弱以及产销边际回落以后，基差回归。操作上，短线等待回调结束低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1" w:name="_Toc799"/>
      <w:r>
        <w:rPr>
          <w:rFonts w:hint="eastAsia" w:ascii="楷体" w:hAnsi="楷体" w:eastAsia="楷体"/>
          <w:b/>
          <w:color w:val="000000" w:themeColor="text1"/>
          <w:sz w:val="24"/>
          <w:szCs w:val="24"/>
          <w14:textFill>
            <w14:solidFill>
              <w14:schemeClr w14:val="tx1"/>
            </w14:solidFill>
          </w14:textFill>
        </w:rPr>
        <w:t>纯碱：现货市场稳价，期价高位震荡</w:t>
      </w:r>
      <w:bookmarkEnd w:id="3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后碱厂以稳价为主，华中和华北的重碱成交在2150-2200元/吨附近，轻碱2050-2100元/吨。从供给端来看，截至到20240509，周内纯碱产量72.02万吨，环比减少1.99万吨，跌幅2.69%。截止到2024年5月13日，国内纯碱厂家总库存89.15万吨，较上周四增加0.04万吨，涨幅0.04%，库存变化不大。需求端表现平稳，轻碱订单较好，重碱走弱，贸易商出货情绪走强，新单询单较多，承接走弱。盘面上，节后虽然库存出现累库，但短期碱厂仍有挺价意愿，上下游围绕价格博弈，近期政策较多，下游浮法和光伏玻璃需求预期转强，但需要注意的是当前强预期与弱现实较为割裂，现货市场纯碱并不紧张，近期进口碱到岗以及投机情绪减弱，期价回归基本面，中期夏季检修供给减产预期仍在，可以等待期价回调后再低多。</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24241"/>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3004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期价高位震荡</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五一以来外盘美玉米期价的上涨，加上国内华北产区玉米止跌回升，带动玉米期价持续大幅反弹，考虑到华北小麦上市压力仍有待释放，南北方港口库存及其深加工玉米库存高企，这说明国内玉米市场现实压力依然存在，期价上涨或表明市场预期已经转向乐观，即转而担心小麦饲用替代量不足以弥补产需缺口，这符合我们之前预期，但需要指出的是，期价上涨带动基差走弱，市场需要现货跟随上涨来实现正反馈。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短期来看，盘面生产亏损、行业库存下滑及其华北-东北玉米价差回升等因素或带动淀粉-玉米价差阶段性反弹，但中期来看，影响淀粉-玉米价差的各方面因素仍存在较大的不确定性，副产品端取决于蛋白粕，这需要留意外盘美豆走势和国内豆粕供需；原料成本端华北-东北玉米价差的走扩空间亦受到后期潜在小麦饲用替代的压制；行业供需层面近期改善更多源于玉米原料反弹带来阶段性补库，但下游产品库存回升，开机率下滑，或影响淀粉需求的持续性。综上所述，我们维持谨慎看多观点，建议前期多单可以考虑继续持有，套利方面则可以考虑阶段性参与。</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13617"/>
      <w:r>
        <w:rPr>
          <w:rFonts w:hint="eastAsia" w:ascii="楷体" w:hAnsi="楷体" w:eastAsia="楷体"/>
          <w:b/>
          <w:bCs/>
          <w:color w:val="000000" w:themeColor="text1"/>
          <w14:textFill>
            <w14:solidFill>
              <w14:schemeClr w14:val="tx1"/>
            </w14:solidFill>
          </w14:textFill>
        </w:rPr>
        <w:t>畜禽养殖：鸡蛋期价多有回落</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综上所述，考虑到二季度供需改善幅度限制猪价上涨空间，而市场对后市的看涨预期依然强烈同样抑制现货回落空间，我们预计期价或延续区间震荡，期价需要等待现货新一轮上涨，但不排除期现货市场抢跑的可能性。在这种情况下，近月更多关注现货与基差，而远月更多关注仔猪价格走势。据此我们中期谨慎看多，短期暂维持中性观点，建议投资者暂以观望为宜，等待入场机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从原料成本角度看，考虑到鸡蛋养殖利润因行业供需处于往年同期低位，饲料成本因素对鸡蛋养殖利润的影响或相对大于生猪，在这种情况下，需要特别留意饲料原料即豆粕和玉米上涨的持续性。近期由于国内外饲料原料即豆粕和玉米期现货反弹，而南方持续降雨带来蔬菜缺口继而催生鸡蛋阶段性补库，现货反弹带来市场预期的变化，但我们更担心年后的情况再度出现，即现货反弹导致养殖户补栏积极性回升，淘汰积极性下降，使得行业去产能进程出现中断。在这种情况下，我们倾向于期价继续上涨空间或有限。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10855"/>
      <w:r>
        <w:rPr>
          <w:rFonts w:hint="eastAsia" w:ascii="楷体" w:hAnsi="楷体" w:eastAsia="楷体"/>
          <w:b/>
          <w:bCs/>
          <w:color w:val="000000" w:themeColor="text1"/>
          <w14:textFill>
            <w14:solidFill>
              <w14:schemeClr w14:val="tx1"/>
            </w14:solidFill>
          </w14:textFill>
        </w:rPr>
        <w:t>白糖：内外走势分化，长期下行趋势</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原糖主力合约上涨1.45%，伦敦ICE白砂糖主力合约上涨0.75%。此次反弹或是因为，上一交易日原糖期价触及18个月以来低位，受成本支撑反弹。供给方面，Datagro上调巴西中南部预估产量至4160万吨，较3月预估上调115万吨；市场预计4月下半月巴西中南部产量上涨50%。需求方面，Secex公布数据显示，5月上半月日均出口量较去年5月日均出口量增长40%，但出口增加幅度不及产量增加幅度。随着巴西新榨季产量逐渐兑现，国际市场进入供大于求的状态，期价承压运行。国内昨日夜盘白糖主力合约下跌0.85%。根据农业农村部上周五公布的供需预测，24/25年度甘蔗种植面积略增、甜菜种植面积大增，食糖产量保持恢复性增长，有望增至1100万吨，而消费量基本持平，国内食糖产需缺口缩小。基于当前供需格局分析，24/25年度产量增加或导致期价下降。但目前短期内外糖价都处于低位，期价寻求支撑，需留意价格反弹，预计盘面震荡整理，建议投资者暂时观望。</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11273"/>
      <w:r>
        <w:rPr>
          <w:rFonts w:hint="eastAsia" w:ascii="楷体" w:hAnsi="楷体" w:eastAsia="楷体"/>
          <w:b/>
          <w:bCs/>
          <w:color w:val="000000" w:themeColor="text1"/>
          <w14:textFill>
            <w14:solidFill>
              <w14:schemeClr w14:val="tx1"/>
            </w14:solidFill>
          </w14:textFill>
        </w:rPr>
        <w:t>棉花：美棉再次大跌，郑棉跟随变动</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棉3美分/磅，跌幅3.86%。因此前美棉多次大幅下跌，ICE将2号棉合约每日涨停板幅度扩大至±4美分/磅，今日开盘起生效。根据USDA公布数据，截止5月12日当周，美棉种植率为33%，高于近五年均值。美棉播种顺利，施压期价。此外，巴西预估产量上调也给棉价造成压力。根据Conab周二昨日公布数据，巴西23/24年度产量估计为364.35万吨，较去年增长14.8%。国内昨日夜盘棉花、棉纱主力合约分别下跌0.49%和0.45%。4月中国棉纺织行业PMI为40.60%，环比下降12.15%，再度降至枯荣线以下，下游需求依旧疲弱。国内整体表现为供需双弱但需求更弱。此外，新年度天气良好，暂时没有炒作空间，短期来看或仍维持弱势震荡走势，建议投资者保持观望态度。</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17669"/>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7001"/>
      <w:r>
        <w:rPr>
          <w:rFonts w:hint="eastAsia" w:ascii="Times New Roman" w:hAnsi="Times New Roman" w:eastAsia="楷体"/>
          <w:b/>
          <w:color w:val="000000" w:themeColor="text1"/>
          <w:sz w:val="24"/>
          <w:szCs w:val="24"/>
          <w14:textFill>
            <w14:solidFill>
              <w14:schemeClr w14:val="tx1"/>
            </w14:solidFill>
          </w14:textFill>
        </w:rPr>
        <w:t>集运指数（欧线）：最新SCFIS欧线涨幅略逊预期，EC合约冲高回落</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 5月10日公布SCFI数据，上海港出口至欧洲基本港市场运价（海运及海运附加费）为2869美元/TEU，较上期大幅上涨24.7%。5月13日，上海出口集装箱结算运价指数（SCFIS）欧洲航线运价指数环比上涨13.7%。从实际结算价表现来看，上涨幅度速度略不如订舱价格。</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冲突仍存，一定程度上对盘面造成情绪上的扰动，短期利好因素释放但前期期货价格已连续多日创出新高，市场出现对未来价格维持高位的担忧。预计期价将短期维持强震荡形态，建议观望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19667"/>
      <w:bookmarkStart w:id="41" w:name="_Toc12779"/>
      <w:bookmarkStart w:id="42" w:name="_Toc71212556"/>
      <w:bookmarkStart w:id="43" w:name="_Toc72481108"/>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2024年5月15日星期三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3D146B7"/>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F15753"/>
    <w:rsid w:val="41F950F8"/>
    <w:rsid w:val="42EB3BA1"/>
    <w:rsid w:val="42F51780"/>
    <w:rsid w:val="43F11831"/>
    <w:rsid w:val="43F63E0D"/>
    <w:rsid w:val="44092E2E"/>
    <w:rsid w:val="441077D2"/>
    <w:rsid w:val="44396064"/>
    <w:rsid w:val="459609D9"/>
    <w:rsid w:val="45A37566"/>
    <w:rsid w:val="45CF0A85"/>
    <w:rsid w:val="46194A11"/>
    <w:rsid w:val="461E2AF1"/>
    <w:rsid w:val="47752ACA"/>
    <w:rsid w:val="47A71483"/>
    <w:rsid w:val="47C813F2"/>
    <w:rsid w:val="489B63EF"/>
    <w:rsid w:val="49BF13F0"/>
    <w:rsid w:val="49D75468"/>
    <w:rsid w:val="49E169F0"/>
    <w:rsid w:val="4A4A74EF"/>
    <w:rsid w:val="4A6F6249"/>
    <w:rsid w:val="4AB74C38"/>
    <w:rsid w:val="4B14426D"/>
    <w:rsid w:val="4B6224E5"/>
    <w:rsid w:val="4B8C4A56"/>
    <w:rsid w:val="4BF97936"/>
    <w:rsid w:val="4C2C4D07"/>
    <w:rsid w:val="4C457E30"/>
    <w:rsid w:val="4D2A3925"/>
    <w:rsid w:val="4D597189"/>
    <w:rsid w:val="4DB20386"/>
    <w:rsid w:val="4DF02D90"/>
    <w:rsid w:val="4E665CB5"/>
    <w:rsid w:val="4F7D0512"/>
    <w:rsid w:val="4FBA2B77"/>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31DDA"/>
    <w:rsid w:val="784F7772"/>
    <w:rsid w:val="78713929"/>
    <w:rsid w:val="78E55995"/>
    <w:rsid w:val="79267C0B"/>
    <w:rsid w:val="79C90FB7"/>
    <w:rsid w:val="7A4975BA"/>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0</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2024-05-15T01:48:12Z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