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_Toc16381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_Toc30854 </w:instrText>
          </w:r>
          <w:r>
            <w:rPr>
              <w:bCs/>
            </w:rPr>
            <w:fldChar w:fldCharType="separate"/>
          </w:r>
          <w:r>
            <w:rPr>
              <w:rFonts w:hint="eastAsia" w:ascii="Times New Roman" w:hAnsi="Times New Roman" w:eastAsia="楷体"/>
              <w:szCs w:val="24"/>
            </w:rPr>
            <w:t>股指：震荡中枢或逐步上移</w:t>
          </w:r>
          <w:r>
            <w:rPr>
              <w:bCs/>
            </w:rPr>
            <w:fldChar w:fldCharType="end"/>
          </w:r>
        </w:p>
        <w:p>
          <w:pPr>
            <w:pStyle w:val="59"/>
            <w:tabs>
              <w:tab w:val="right" w:leader="dot" w:pos="8306"/>
            </w:tabs>
          </w:pPr>
          <w:r>
            <w:rPr>
              <w:bCs/>
            </w:rPr>
            <w:fldChar w:fldCharType="begin"/>
          </w:r>
          <w:r>
            <w:rPr>
              <w:bCs/>
            </w:rPr>
            <w:instrText xml:space="preserve"> HYPERLINK \l _Toc24974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_Toc17018 </w:instrText>
          </w:r>
          <w:r>
            <w:rPr>
              <w:bCs/>
            </w:rPr>
            <w:fldChar w:fldCharType="separate"/>
          </w:r>
          <w:r>
            <w:rPr>
              <w:rFonts w:hint="eastAsia" w:ascii="Times New Roman" w:hAnsi="Times New Roman" w:eastAsia="楷体"/>
              <w:szCs w:val="24"/>
            </w:rPr>
            <w:t>贵金属：静待美国通胀数据更新，内盘贵金属小幅下跌</w:t>
          </w:r>
          <w:r>
            <w:rPr>
              <w:bCs/>
            </w:rPr>
            <w:fldChar w:fldCharType="end"/>
          </w:r>
        </w:p>
        <w:p>
          <w:pPr>
            <w:pStyle w:val="59"/>
            <w:tabs>
              <w:tab w:val="right" w:leader="dot" w:pos="8306"/>
            </w:tabs>
          </w:pPr>
          <w:r>
            <w:rPr>
              <w:bCs/>
            </w:rPr>
            <w:fldChar w:fldCharType="begin"/>
          </w:r>
          <w:r>
            <w:rPr>
              <w:bCs/>
            </w:rPr>
            <w:instrText xml:space="preserve"> HYPERLINK \l _Toc4060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_Toc19125 </w:instrText>
          </w:r>
          <w:r>
            <w:rPr>
              <w:bCs/>
            </w:rPr>
            <w:fldChar w:fldCharType="separate"/>
          </w:r>
          <w:r>
            <w:rPr>
              <w:rFonts w:hint="eastAsia" w:ascii="楷体" w:hAnsi="楷体" w:eastAsia="楷体"/>
              <w:szCs w:val="24"/>
            </w:rPr>
            <w:t>碳酸锂：现货价格略微下探，期价下跌</w:t>
          </w:r>
          <w:r>
            <w:rPr>
              <w:bCs/>
            </w:rPr>
            <w:fldChar w:fldCharType="end"/>
          </w:r>
        </w:p>
        <w:p>
          <w:pPr>
            <w:pStyle w:val="74"/>
            <w:tabs>
              <w:tab w:val="right" w:leader="dot" w:pos="8306"/>
            </w:tabs>
          </w:pPr>
          <w:r>
            <w:rPr>
              <w:bCs/>
            </w:rPr>
            <w:fldChar w:fldCharType="begin"/>
          </w:r>
          <w:r>
            <w:rPr>
              <w:bCs/>
            </w:rPr>
            <w:instrText xml:space="preserve"> HYPERLINK \l _Toc5856 </w:instrText>
          </w:r>
          <w:r>
            <w:rPr>
              <w:bCs/>
            </w:rPr>
            <w:fldChar w:fldCharType="separate"/>
          </w:r>
          <w:r>
            <w:rPr>
              <w:rFonts w:hint="eastAsia" w:ascii="楷体" w:hAnsi="楷体" w:eastAsia="楷体"/>
              <w:szCs w:val="24"/>
            </w:rPr>
            <w:t>铝：铝价区间窄幅震荡</w:t>
          </w:r>
          <w:r>
            <w:rPr>
              <w:bCs/>
            </w:rPr>
            <w:fldChar w:fldCharType="end"/>
          </w:r>
        </w:p>
        <w:p>
          <w:pPr>
            <w:pStyle w:val="74"/>
            <w:tabs>
              <w:tab w:val="right" w:leader="dot" w:pos="8306"/>
            </w:tabs>
          </w:pPr>
          <w:r>
            <w:rPr>
              <w:bCs/>
            </w:rPr>
            <w:fldChar w:fldCharType="begin"/>
          </w:r>
          <w:r>
            <w:rPr>
              <w:bCs/>
            </w:rPr>
            <w:instrText xml:space="preserve"> HYPERLINK \l _Toc19243 </w:instrText>
          </w:r>
          <w:r>
            <w:rPr>
              <w:bCs/>
            </w:rPr>
            <w:fldChar w:fldCharType="separate"/>
          </w:r>
          <w:r>
            <w:rPr>
              <w:rFonts w:hint="eastAsia" w:ascii="楷体" w:hAnsi="楷体" w:eastAsia="楷体"/>
              <w:szCs w:val="24"/>
            </w:rPr>
            <w:t>锌：锌价偏强震荡</w:t>
          </w:r>
          <w:r>
            <w:rPr>
              <w:bCs/>
            </w:rPr>
            <w:fldChar w:fldCharType="end"/>
          </w:r>
        </w:p>
        <w:p>
          <w:pPr>
            <w:pStyle w:val="74"/>
            <w:tabs>
              <w:tab w:val="right" w:leader="dot" w:pos="8306"/>
            </w:tabs>
          </w:pPr>
          <w:r>
            <w:rPr>
              <w:bCs/>
            </w:rPr>
            <w:fldChar w:fldCharType="begin"/>
          </w:r>
          <w:r>
            <w:rPr>
              <w:bCs/>
            </w:rPr>
            <w:instrText xml:space="preserve"> HYPERLINK \l _Toc30489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：短期价格易涨难跌，关注周内美国通胀数据</w:t>
          </w:r>
          <w:r>
            <w:rPr>
              <w:bCs/>
            </w:rPr>
            <w:fldChar w:fldCharType="end"/>
          </w:r>
        </w:p>
        <w:p>
          <w:pPr>
            <w:pStyle w:val="74"/>
            <w:tabs>
              <w:tab w:val="right" w:leader="dot" w:pos="8306"/>
            </w:tabs>
          </w:pPr>
          <w:r>
            <w:rPr>
              <w:bCs/>
            </w:rPr>
            <w:fldChar w:fldCharType="begin"/>
          </w:r>
          <w:r>
            <w:rPr>
              <w:bCs/>
            </w:rPr>
            <w:instrText xml:space="preserve"> HYPERLINK \l _Toc8017 </w:instrText>
          </w:r>
          <w:r>
            <w:rPr>
              <w:bCs/>
            </w:rPr>
            <w:fldChar w:fldCharType="separate"/>
          </w:r>
          <w:r>
            <w:rPr>
              <w:rFonts w:hint="eastAsia" w:ascii="楷体" w:hAnsi="楷体" w:eastAsia="楷体"/>
              <w:szCs w:val="24"/>
            </w:rPr>
            <w:t>镍：宏观情绪扰动，基本面带来回调风险</w:t>
          </w:r>
          <w:r>
            <w:rPr>
              <w:bCs/>
            </w:rPr>
            <w:fldChar w:fldCharType="end"/>
          </w:r>
        </w:p>
        <w:p>
          <w:pPr>
            <w:pStyle w:val="74"/>
            <w:tabs>
              <w:tab w:val="right" w:leader="dot" w:pos="8306"/>
            </w:tabs>
          </w:pPr>
          <w:r>
            <w:rPr>
              <w:bCs/>
            </w:rPr>
            <w:fldChar w:fldCharType="begin"/>
          </w:r>
          <w:r>
            <w:rPr>
              <w:bCs/>
            </w:rPr>
            <w:instrText xml:space="preserve"> HYPERLINK \l _Toc20303 </w:instrText>
          </w:r>
          <w:r>
            <w:rPr>
              <w:bCs/>
            </w:rPr>
            <w:fldChar w:fldCharType="separate"/>
          </w:r>
          <w:r>
            <w:rPr>
              <w:rFonts w:hint="eastAsia" w:ascii="楷体" w:hAnsi="楷体" w:eastAsia="楷体"/>
              <w:szCs w:val="24"/>
            </w:rPr>
            <w:t>不锈钢：供需矛盾凸显，价格缺乏持续上行动能</w:t>
          </w:r>
          <w:r>
            <w:rPr>
              <w:bCs/>
            </w:rPr>
            <w:fldChar w:fldCharType="end"/>
          </w:r>
        </w:p>
        <w:p>
          <w:pPr>
            <w:pStyle w:val="74"/>
            <w:tabs>
              <w:tab w:val="right" w:leader="dot" w:pos="8306"/>
            </w:tabs>
          </w:pPr>
          <w:r>
            <w:rPr>
              <w:bCs/>
            </w:rPr>
            <w:fldChar w:fldCharType="begin"/>
          </w:r>
          <w:r>
            <w:rPr>
              <w:bCs/>
            </w:rPr>
            <w:instrText xml:space="preserve"> HYPERLINK \l _Toc32597 </w:instrText>
          </w:r>
          <w:r>
            <w:rPr>
              <w:bCs/>
            </w:rPr>
            <w:fldChar w:fldCharType="separate"/>
          </w:r>
          <w:r>
            <w:rPr>
              <w:rFonts w:hint="eastAsia" w:ascii="楷体" w:hAnsi="楷体" w:eastAsia="楷体"/>
              <w:szCs w:val="24"/>
            </w:rPr>
            <w:t>工业硅：主产区陆续复产，供应存在增加预期</w:t>
          </w:r>
          <w:r>
            <w:rPr>
              <w:bCs/>
            </w:rPr>
            <w:fldChar w:fldCharType="end"/>
          </w:r>
        </w:p>
        <w:p>
          <w:pPr>
            <w:pStyle w:val="59"/>
            <w:tabs>
              <w:tab w:val="right" w:leader="dot" w:pos="8306"/>
            </w:tabs>
          </w:pPr>
          <w:r>
            <w:rPr>
              <w:bCs/>
            </w:rPr>
            <w:fldChar w:fldCharType="begin"/>
          </w:r>
          <w:r>
            <w:rPr>
              <w:bCs/>
            </w:rPr>
            <w:instrText xml:space="preserve"> HYPERLINK \l _Toc16757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_Toc3561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成本端止跌 天胶下方空间有限</w:t>
          </w:r>
          <w:r>
            <w:rPr>
              <w:bCs/>
            </w:rPr>
            <w:fldChar w:fldCharType="end"/>
          </w:r>
        </w:p>
        <w:p>
          <w:pPr>
            <w:pStyle w:val="74"/>
            <w:tabs>
              <w:tab w:val="right" w:leader="dot" w:pos="8306"/>
            </w:tabs>
          </w:pPr>
          <w:r>
            <w:rPr>
              <w:bCs/>
            </w:rPr>
            <w:fldChar w:fldCharType="begin"/>
          </w:r>
          <w:r>
            <w:rPr>
              <w:bCs/>
            </w:rPr>
            <w:instrText xml:space="preserve"> HYPERLINK \l _Toc5055 </w:instrText>
          </w:r>
          <w:r>
            <w:rPr>
              <w:bCs/>
            </w:rPr>
            <w:fldChar w:fldCharType="separate"/>
          </w:r>
          <w:r>
            <w:rPr>
              <w:rFonts w:hint="eastAsia" w:ascii="楷体" w:hAnsi="楷体" w:eastAsia="楷体"/>
              <w:szCs w:val="24"/>
            </w:rPr>
            <w:t>聚烯烃：供需双弱 聚烯烃或回调为主</w:t>
          </w:r>
          <w:r>
            <w:rPr>
              <w:bCs/>
            </w:rPr>
            <w:fldChar w:fldCharType="end"/>
          </w:r>
        </w:p>
        <w:p>
          <w:pPr>
            <w:pStyle w:val="74"/>
            <w:tabs>
              <w:tab w:val="right" w:leader="dot" w:pos="8306"/>
            </w:tabs>
          </w:pPr>
          <w:r>
            <w:rPr>
              <w:bCs/>
            </w:rPr>
            <w:fldChar w:fldCharType="begin"/>
          </w:r>
          <w:r>
            <w:rPr>
              <w:bCs/>
            </w:rPr>
            <w:instrText xml:space="preserve"> HYPERLINK \l _Toc5533 </w:instrText>
          </w:r>
          <w:r>
            <w:rPr>
              <w:bCs/>
            </w:rPr>
            <w:fldChar w:fldCharType="separate"/>
          </w:r>
          <w:r>
            <w:rPr>
              <w:rFonts w:hint="eastAsia" w:ascii="楷体" w:hAnsi="楷体" w:eastAsia="楷体"/>
              <w:szCs w:val="24"/>
            </w:rPr>
            <w:t>玻璃：矛盾积累期，期价高位震荡</w:t>
          </w:r>
          <w:r>
            <w:rPr>
              <w:bCs/>
            </w:rPr>
            <w:fldChar w:fldCharType="end"/>
          </w:r>
        </w:p>
        <w:p>
          <w:pPr>
            <w:pStyle w:val="74"/>
            <w:tabs>
              <w:tab w:val="right" w:leader="dot" w:pos="8306"/>
            </w:tabs>
          </w:pPr>
          <w:r>
            <w:rPr>
              <w:bCs/>
            </w:rPr>
            <w:fldChar w:fldCharType="begin"/>
          </w:r>
          <w:r>
            <w:rPr>
              <w:bCs/>
            </w:rPr>
            <w:instrText xml:space="preserve"> HYPERLINK \l _Toc5910 </w:instrText>
          </w:r>
          <w:r>
            <w:rPr>
              <w:bCs/>
            </w:rPr>
            <w:fldChar w:fldCharType="separate"/>
          </w:r>
          <w:r>
            <w:rPr>
              <w:rFonts w:hint="eastAsia" w:ascii="楷体" w:hAnsi="楷体" w:eastAsia="楷体"/>
              <w:szCs w:val="24"/>
            </w:rPr>
            <w:t>纯碱：新单承接力度减弱，期价高位震荡</w:t>
          </w:r>
          <w:r>
            <w:rPr>
              <w:bCs/>
            </w:rPr>
            <w:fldChar w:fldCharType="end"/>
          </w:r>
        </w:p>
        <w:p>
          <w:pPr>
            <w:pStyle w:val="59"/>
            <w:tabs>
              <w:tab w:val="right" w:leader="dot" w:pos="8306"/>
            </w:tabs>
          </w:pPr>
          <w:r>
            <w:rPr>
              <w:bCs/>
            </w:rPr>
            <w:fldChar w:fldCharType="begin"/>
          </w:r>
          <w:r>
            <w:rPr>
              <w:bCs/>
            </w:rPr>
            <w:instrText xml:space="preserve"> HYPERLINK \l _Toc31199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_Toc26266 </w:instrText>
          </w:r>
          <w:r>
            <w:rPr>
              <w:bCs/>
            </w:rPr>
            <w:fldChar w:fldCharType="separate"/>
          </w:r>
          <w:r>
            <w:rPr>
              <w:rFonts w:hint="eastAsia" w:ascii="楷体" w:hAnsi="楷体" w:eastAsia="楷体"/>
              <w:bCs/>
            </w:rPr>
            <w:t>玉米与淀粉：</w:t>
          </w:r>
          <w:r>
            <w:rPr>
              <w:rFonts w:hint="eastAsia" w:ascii="楷体" w:hAnsi="楷体" w:eastAsia="楷体"/>
            </w:rPr>
            <w:t>期价夜盘继续上涨</w:t>
          </w:r>
          <w:r>
            <w:rPr>
              <w:bCs/>
            </w:rPr>
            <w:fldChar w:fldCharType="end"/>
          </w:r>
        </w:p>
        <w:p>
          <w:pPr>
            <w:pStyle w:val="74"/>
            <w:tabs>
              <w:tab w:val="right" w:leader="dot" w:pos="8306"/>
            </w:tabs>
          </w:pPr>
          <w:r>
            <w:rPr>
              <w:bCs/>
            </w:rPr>
            <w:fldChar w:fldCharType="begin"/>
          </w:r>
          <w:r>
            <w:rPr>
              <w:bCs/>
            </w:rPr>
            <w:instrText xml:space="preserve"> HYPERLINK \l _Toc16660 </w:instrText>
          </w:r>
          <w:r>
            <w:rPr>
              <w:bCs/>
            </w:rPr>
            <w:fldChar w:fldCharType="separate"/>
          </w:r>
          <w:r>
            <w:rPr>
              <w:rFonts w:hint="eastAsia" w:ascii="楷体" w:hAnsi="楷体" w:eastAsia="楷体"/>
              <w:bCs/>
            </w:rPr>
            <w:t>畜禽养殖：现货带动鸡蛋期价继续近强远弱</w:t>
          </w:r>
          <w:r>
            <w:rPr>
              <w:bCs/>
            </w:rPr>
            <w:fldChar w:fldCharType="end"/>
          </w:r>
        </w:p>
        <w:p>
          <w:pPr>
            <w:pStyle w:val="74"/>
            <w:tabs>
              <w:tab w:val="right" w:leader="dot" w:pos="8306"/>
            </w:tabs>
          </w:pPr>
          <w:r>
            <w:rPr>
              <w:bCs/>
            </w:rPr>
            <w:fldChar w:fldCharType="begin"/>
          </w:r>
          <w:r>
            <w:rPr>
              <w:bCs/>
            </w:rPr>
            <w:instrText xml:space="preserve"> HYPERLINK \l _Toc28630 </w:instrText>
          </w:r>
          <w:r>
            <w:rPr>
              <w:bCs/>
            </w:rPr>
            <w:fldChar w:fldCharType="separate"/>
          </w:r>
          <w:r>
            <w:rPr>
              <w:rFonts w:hint="eastAsia" w:ascii="楷体" w:hAnsi="楷体" w:eastAsia="楷体"/>
              <w:bCs/>
            </w:rPr>
            <w:t>白糖：原糖价格下跌不止，郑糖跟跌</w:t>
          </w:r>
          <w:r>
            <w:rPr>
              <w:bCs/>
            </w:rPr>
            <w:fldChar w:fldCharType="end"/>
          </w:r>
        </w:p>
        <w:p>
          <w:pPr>
            <w:pStyle w:val="74"/>
            <w:tabs>
              <w:tab w:val="right" w:leader="dot" w:pos="8306"/>
            </w:tabs>
          </w:pPr>
          <w:r>
            <w:rPr>
              <w:bCs/>
            </w:rPr>
            <w:fldChar w:fldCharType="begin"/>
          </w:r>
          <w:r>
            <w:rPr>
              <w:bCs/>
            </w:rPr>
            <w:instrText xml:space="preserve"> HYPERLINK \l _Toc2156 </w:instrText>
          </w:r>
          <w:r>
            <w:rPr>
              <w:bCs/>
            </w:rPr>
            <w:fldChar w:fldCharType="separate"/>
          </w:r>
          <w:r>
            <w:rPr>
              <w:rFonts w:hint="eastAsia" w:ascii="楷体" w:hAnsi="楷体" w:eastAsia="楷体"/>
              <w:bCs/>
            </w:rPr>
            <w:t>棉花：内外棉价略回暖，长期依旧弱势运行</w:t>
          </w:r>
          <w:r>
            <w:rPr>
              <w:bCs/>
            </w:rPr>
            <w:fldChar w:fldCharType="end"/>
          </w:r>
        </w:p>
        <w:p>
          <w:pPr>
            <w:pStyle w:val="59"/>
            <w:tabs>
              <w:tab w:val="right" w:leader="dot" w:pos="8306"/>
            </w:tabs>
          </w:pPr>
          <w:r>
            <w:rPr>
              <w:bCs/>
            </w:rPr>
            <w:fldChar w:fldCharType="begin"/>
          </w:r>
          <w:r>
            <w:rPr>
              <w:bCs/>
            </w:rPr>
            <w:instrText xml:space="preserve"> HYPERLINK \l _Toc29125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_Toc30556 </w:instrText>
          </w:r>
          <w:r>
            <w:rPr>
              <w:bCs/>
            </w:rPr>
            <w:fldChar w:fldCharType="separate"/>
          </w:r>
          <w:r>
            <w:rPr>
              <w:rFonts w:hint="eastAsia" w:ascii="Times New Roman" w:hAnsi="Times New Roman" w:eastAsia="楷体"/>
              <w:szCs w:val="24"/>
            </w:rPr>
            <w:t>集运指数（欧线）：提价落地SCFI大涨24%，EC合约继续集体创新高</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6381"/>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3085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震荡中枢或逐步上移</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受周末社融利空影响，昨日两市集体低开，但市场表现较为理性，盘中上证一度翻红，截至收盘收盘，上证微跌0.21%，创业板指跌0.95%。4月单月社融数据表现更多是政策导向，经济转型后脱虚向实的结果。但也体现出内需依然薄弱的情况。在市场经历过轮动普涨后，金融数据的阶段性利空或给市场带来一定波折。综合来看，政策面及资本市场新规为中长期提供一定支撑，但短期涨势或将进入尾声，向上爆发力不足。</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4974"/>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7018"/>
      <w:r>
        <w:rPr>
          <w:rFonts w:hint="eastAsia" w:ascii="Times New Roman" w:hAnsi="Times New Roman" w:eastAsia="楷体"/>
          <w:b/>
          <w:color w:val="000000" w:themeColor="text1"/>
          <w:sz w:val="24"/>
          <w:szCs w:val="24"/>
          <w14:textFill>
            <w14:solidFill>
              <w14:schemeClr w14:val="tx1"/>
            </w14:solidFill>
          </w14:textFill>
        </w:rPr>
        <w:t>贵金属：静待美国通胀数据更新，内盘贵金属小幅下跌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跌0.79%至555.16元/克，沪银跌0.22%至7306元/千克。美国就业数据走弱，降息预期重新升温，后续市场或主要基于美国经济和通胀表现调整降息预期。纽约联储消费者预期调查显示，4月一年期通胀预期从前一个月的3%升至3.26%，为去年11月以来的最高水平。 4月美国Manheim二手车批发价格季调后环比录得降2.3%，二手车零售销量环比下降4%。本周重点关注美国PPI、CPI通胀数据更新情况，当前市场预计4月美国CPI同比增速或小幅放缓至增3.4%，核心CPI同比增速或放缓至3.6%。年内降息仍为大概率事件，全球央行持续购金亦对金价形成一定支撑，建议贵金属中长期思路以偏多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4060"/>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9125"/>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碳酸锂：现货价格略微下探，期价下跌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略微下探，部分散单报价小幅下调；期价下跌，07合约收跌2.15%至107100元/吨。青海地区产量持续提升，江西地区企业生产恢复、开工上行，供应整体维持增长。4月碳酸锂产量约52500吨，环比增23%；SMM预测5月碳酸锂产量约为60100吨，环比增14%。进口持续存在增量预期，也对供应形成补充，4月智利碳酸锂出口至国内约22900吨，环比增42.27%，同比增162.25%。进口增加、下游磷酸铁锂产量增速放缓，供应过剩情况或有所加剧。汽车以旧换新政策落地后，多家车企已配合推出相应优惠和补贴政策，后续或持续拉动新能源车需求，但正极材料端的原料补库需求一定程度上已前置兑现，终端对碳酸锂需求的拉动作用仍有待观察。下游观望情绪增强，期价或维持区间震荡。</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5856"/>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铝价区间窄幅震荡</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伦铝交仓对沪铝价格影响有限，隔夜海内外铝市偏强运行，基本面上看，国内电解铝供应稳定，云南复产带来小幅铝水增长，下游需求表现韧性仍存，铝价重心上移价格难跌，短期价格或窄幅震荡在20000-21000之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19243"/>
      <w:r>
        <w:rPr>
          <w:rFonts w:hint="eastAsia" w:ascii="楷体" w:hAnsi="楷体" w:eastAsia="楷体"/>
          <w:b/>
          <w:color w:val="000000" w:themeColor="text1"/>
          <w:sz w:val="24"/>
          <w:szCs w:val="24"/>
          <w14:textFill>
            <w14:solidFill>
              <w14:schemeClr w14:val="tx1"/>
            </w14:solidFill>
          </w14:textFill>
        </w:rPr>
        <w:t>锌：锌价偏强震荡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通胀未达目标，就业市场情绪降温，美国降息预期提前，国内传统地产消费频出利好刺激，宏观情绪偏多。矿端紧缺限制扩产，海外有色冶炼龙头Nyrstar计划复产增强海外供应预期，国内冶炼保持高产但生产利润亏损，库存历史相对高位拐入去库，海内外需求边际修复，锌价成本端支撑，短期锌价保持偏强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30489"/>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：短期价格易涨难跌，关注周内美国通胀数据</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(1)库存：5月13日，SHFE仓单库存225768吨，增2139吨；LME仓单库存103100吨，减350吨。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(2)精废价差：5月13日，Mysteel精废价差3755，收窄287。目前价差在合理价差1505之上。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5月13日，财政部发布《关于2024年一般国债、超长期特别国债发行有关安排的通知》，并给出了清晰的发行节奏。近期国内政策的不断推出使得整体市场情绪偏暖。基本面层面的供应收缩预期交易逻辑仍在持续，进口铜精矿指数跌至负数，观察内外盘多头持仓仍维持高位，短期价格易涨难跌，继续关注TC及库存变化，主波动区间参考79000-83000。周内公布美国4月通胀数据。</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8017"/>
      <w:r>
        <w:rPr>
          <w:rFonts w:hint="eastAsia" w:ascii="楷体" w:hAnsi="楷体" w:eastAsia="楷体"/>
          <w:b/>
          <w:color w:val="000000" w:themeColor="text1"/>
          <w:sz w:val="24"/>
          <w:szCs w:val="24"/>
          <w14:textFill>
            <w14:solidFill>
              <w14:schemeClr w14:val="tx1"/>
            </w14:solidFill>
          </w14:textFill>
        </w:rPr>
        <w:t>镍：宏观情绪扰动，基本面带来回调风险</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料端，印尼镍矿流通资源仍偏紧，镍矿价格维持高位；镍铁价格偏强运行；印尼镍中间品延期到港，价格折扣系数处于偏高水平；硫酸镍在原料偏紧情况下供应不及预期，但下游需求表现疲弱，预计短期硫酸镍价格持稳为主，为电积镍带来成本支撑。供应端，精炼镍产能维持高位，Mysteel预计5月国内精炼镍产量预计2.65万吨，环比增加6.37%。需求端，精炼镍下游成交以刚需采购为主。终端来看，三元电芯龙头企业减产，加上成品库存高企，对镍需求疲软；不锈钢厂5月排产维持高位，存有采购需求。综合而言，当前镍价处于偏高水平主要是受到宏观利好情绪驱动，原料端偏紧也带来较强底部支撑，但基本面偏弱为镍价带来回调压力，短期价格高位震荡为主，周内关注美国4月CPI数据公布。</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0303"/>
      <w:r>
        <w:rPr>
          <w:rFonts w:hint="eastAsia" w:ascii="楷体" w:hAnsi="楷体" w:eastAsia="楷体"/>
          <w:b/>
          <w:color w:val="000000" w:themeColor="text1"/>
          <w:sz w:val="24"/>
          <w:szCs w:val="24"/>
          <w14:textFill>
            <w14:solidFill>
              <w14:schemeClr w14:val="tx1"/>
            </w14:solidFill>
          </w14:textFill>
        </w:rPr>
        <w:t>不锈钢：供需矛盾凸显，价格缺乏持续上行动能</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镍矿端，印尼镍矿流通资源仍偏紧，预计镍矿价格坚挺。镍铁端，据Mysteel调研，最新高镍生铁成交价为990元/镍（到厂含税），不锈钢成本支撑走强。供应方面， 利润空间尚可，5月不锈钢厂排产维持高位，Mysteel预计排产373万吨左右。需求方面，期价偏高对下游需求带来抑制，近期下游成交未有起色；终端来看，近期多地放开楼市限购等宏观政策有助于地产市场恢复，关注实际需求兑现情况。库存方面，上周社会库存累库2.66%，仓单库存处于历史高点。综合而言，4月以来不锈钢价格重心抬升的逻辑在于宏观利好情绪驱动及成本支撑走强，考虑到5月排产维持高位而下游需求未有起色，不锈钢供需矛盾或愈发凸显，加上仓单库存压力，价格缺乏持续上行动能。</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3259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主产区陆续复产，供应存在增加预期</w:t>
      </w:r>
      <w:bookmarkEnd w:id="25"/>
    </w:p>
    <w:p>
      <w:pPr>
        <w:ind w:left="630" w:leftChars="300"/>
        <w:rPr>
          <w:rFonts w:ascii="楷体" w:hAnsi="楷体" w:eastAsia="楷体"/>
          <w:sz w:val="24"/>
          <w:szCs w:val="24"/>
        </w:rPr>
      </w:pPr>
      <w:r>
        <w:rPr>
          <w:rFonts w:hint="eastAsia" w:ascii="楷体" w:hAnsi="楷体" w:eastAsia="楷体"/>
          <w:sz w:val="24"/>
          <w:szCs w:val="24"/>
        </w:rPr>
        <w:t>5月13日，Si2407主力合约呈反弹走势，收盘价12055元/吨，较上一收盘价涨跌幅＋0.37%。当前北方产区处于开工高位，随着西南步入平水期，当地工厂已开始季节性复产，后续仍存在较大复产空间，但是需求端暂无出现改善情况，行业供需格局存在边际转向宽松预期，对盘面反弹存在压制，考虑到当前西南生产成本仍旧较高对市场或仍有一定支撑，预期短期盘面震荡偏弱运行，参考区间（11500，12300）。策略上，建议波段操作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6757"/>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3561"/>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成本端止跌 天胶下方空间有限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云南产区有传天气偏干，开割不顺。海南产区物候条件优越，已经开割。短期海内外产区原料价格仍然偏强。港口库存方面，近期由于进口量减少，因此港口库存持续去化。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5-6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短期天胶上方压力受泰国即将进入旺产季节影响依旧较大，胶价或震荡整理为主，下方空间有限。</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5055"/>
      <w:r>
        <w:rPr>
          <w:rFonts w:hint="eastAsia" w:ascii="楷体" w:hAnsi="楷体" w:eastAsia="楷体"/>
          <w:b/>
          <w:color w:val="000000" w:themeColor="text1"/>
          <w:sz w:val="24"/>
          <w:szCs w:val="24"/>
          <w14:textFill>
            <w14:solidFill>
              <w14:schemeClr w14:val="tx1"/>
            </w14:solidFill>
          </w14:textFill>
        </w:rPr>
        <w:t>聚烯烃：供需双弱 聚烯烃或回调为主</w:t>
      </w:r>
      <w:bookmarkEnd w:id="29"/>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聚烯烃供需双弱，成本端波动较大，预计聚烯烃回调为主。</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0" w:name="_Toc5533"/>
      <w:r>
        <w:rPr>
          <w:rFonts w:hint="eastAsia" w:ascii="楷体" w:hAnsi="楷体" w:eastAsia="楷体"/>
          <w:b/>
          <w:color w:val="000000" w:themeColor="text1"/>
          <w:sz w:val="24"/>
          <w:szCs w:val="24"/>
          <w14:textFill>
            <w14:solidFill>
              <w14:schemeClr w14:val="tx1"/>
            </w14:solidFill>
          </w14:textFill>
        </w:rPr>
        <w:t>玻璃：矛盾积累期，期价高位震荡</w:t>
      </w:r>
      <w:bookmarkEnd w:id="3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5月13日报道:今日浮法玻璃现货价格1693元/吨，较上一交易日持平。供给上，日熔量17.35万吨/天。库存上，截止到20240509，全国浮法玻璃样本企业总库存6120.6万重箱，环比-60.9万重箱，环比-0.99%，同比+32.7%，小幅去库。现货端，华北、华中地区产销走强，华南地区刚需备货，周内产销边际走弱。宏观方面国内4月30日政治局会议提到房地产化解存量优化增量，提振市场对地产化债问题解决的信心，多一线城市全面取消限购，房价短期来看有一定企稳迹象，本周再度发行特别长国债，整体宏观预期偏强，盘面上，终端实际需求不温不火，宏观强预期驱动期价上行升水现货，未见到连续累库之前，下半年地产需求由弱转强预期无法证伪，但弱现实压制上方空间，期价升水之后追多风险加大，操作上，短线等待回调低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1" w:name="_Toc5910"/>
      <w:r>
        <w:rPr>
          <w:rFonts w:hint="eastAsia" w:ascii="楷体" w:hAnsi="楷体" w:eastAsia="楷体"/>
          <w:b/>
          <w:color w:val="000000" w:themeColor="text1"/>
          <w:sz w:val="24"/>
          <w:szCs w:val="24"/>
          <w14:textFill>
            <w14:solidFill>
              <w14:schemeClr w14:val="tx1"/>
            </w14:solidFill>
          </w14:textFill>
        </w:rPr>
        <w:t>纯碱：新单承接力度减弱，期价高位震荡</w:t>
      </w:r>
      <w:bookmarkEnd w:id="3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节后碱厂以稳价为主，华中和华北的重碱成交在2150-2200元/吨附近，轻碱2050-2100元/吨。从供给端来看，截至到20240509，周内纯碱产量72.02万吨，环比减少1.99万吨，跌幅2.69%。截止到2024年5月13日，国内纯碱厂家总库存89.15万吨，较上周四增加0.04万吨，涨幅0.04%，库存变化不大。需求端表现平稳，轻碱订单较好，重碱走弱，贸易商出货情绪走强，新单询单较多，承接走弱。盘面上，节后虽然库存出现累库，但短期碱厂仍有挺价意愿，上下游围绕价格博弈，近期政策较多，下游浮法和光伏玻璃需求预期转强，商品情绪转强，但需要注意的是当前强预期与弱现实较为割裂，现货市场纯碱并不紧张，期价短期高位震荡，中期夏季检修供给减产预期仍在，可以等待期价回调后再低多。</w:t>
      </w:r>
    </w:p>
    <w:p>
      <w:pPr>
        <w:ind w:left="630" w:leftChars="300"/>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31199"/>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26266"/>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期价夜盘继续上涨</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五一以来外盘美玉米期价的上涨，加上国内华北产区玉米止跌回升，带动玉米期价持续大幅反弹，考虑到华北小麦上市压力仍有待释放，南北方港口库存及其深加工玉米库存高企，这说明国内玉米市场现实压力依然存在，期价上涨或表明市场预期已经转向乐观，即转而担心小麦饲用替代量不足以弥补产需缺口，这符合我们之前预期，但需要指出的是，期价上涨带动基差走弱，市场需要现货跟随上涨来实现正反馈。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短期来看，盘面生产亏损、行业库存下滑及其华北-东北玉米价差回升等因素或带动淀粉-玉米价差阶段性反弹，但中期来看，影响淀粉-玉米价差的各方面因素仍存在较大的不确定性，副产品端取决于蛋白粕，这需要留意外盘美豆走势和国内豆粕供需；原料成本端华北-东北玉米价差的走扩空间亦受到后期潜在小麦饲用替代的压制；行业供需层面近期改善更多源于玉米原料反弹带来阶段性补库，但下游产品库存回升，开机率下滑，或影响淀粉需求的持续性。综上所述，我们维持谨慎看多观点，建议前期多单可以考虑继续持有，套利方面则可以考虑阶段性参与。</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4" w:name="_Toc16660"/>
      <w:r>
        <w:rPr>
          <w:rFonts w:hint="eastAsia" w:ascii="楷体" w:hAnsi="楷体" w:eastAsia="楷体"/>
          <w:b/>
          <w:bCs/>
          <w:color w:val="000000" w:themeColor="text1"/>
          <w14:textFill>
            <w14:solidFill>
              <w14:schemeClr w14:val="tx1"/>
            </w14:solidFill>
          </w14:textFill>
        </w:rPr>
        <w:t>畜禽养殖：现货带动鸡蛋期价继续近强远弱</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综上所述，考虑到二季度供需改善幅度限制猪价上涨空间，而市场对后市的看涨预期依然强烈同样抑制现货回落空间，我们预计期价或延续区间震荡，期价需要等待现货新一轮上涨，但不排除期现货市场抢跑的可能性。在这种情况下，近月更多关注现货与基差，而远月更多关注仔猪价格走势。据此我们中期谨慎看多，短期暂维持中性观点，建议投资者暂以观望为宜，等待入场机会。</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近期蛋鸡养殖转为亏损之后，养殖户淘汰积极性上升，蛋鸡淘汰日龄、淘汰鸡价格及周度淘汰量均可以印证，这有望改善远期鸡蛋供需，但需要指出的是，这种产能去化需要持续一段时间才能够改变鸡蛋的供需格局。从原料成本角度看，考虑到鸡蛋养殖利润因行业供需处于往年同期低位，饲料成本因素对鸡蛋养殖利润的影响或相对大于生猪，在这种情况下，需要特别留意饲料原料即豆粕和玉米上涨的持续性。近期由于国内外饲料原料即豆粕和玉米期现货反弹，而南方持续降雨带来蔬菜缺口继而催生鸡蛋阶段性补库，现货反弹带来市场预期的变化，但我们更担心年后的情况再度出现，即现货反弹导致养殖户补栏积极性回升，淘汰积极性下降，使得行业去产能进程出现中断。在这种情况下，我们倾向于期价继续上涨空间或有限。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28630"/>
      <w:r>
        <w:rPr>
          <w:rFonts w:hint="eastAsia" w:ascii="楷体" w:hAnsi="楷体" w:eastAsia="楷体"/>
          <w:b/>
          <w:bCs/>
          <w:color w:val="000000" w:themeColor="text1"/>
          <w14:textFill>
            <w14:solidFill>
              <w14:schemeClr w14:val="tx1"/>
            </w14:solidFill>
          </w14:textFill>
        </w:rPr>
        <w:t>白糖：原糖价格下跌不止，郑糖跟跌</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纽约ICE原糖主力合约下跌3.52%，伦敦ICE白砂糖主力合约下跌3.51%，糖价大跌。在高利润的刺激下，巴西糖厂提前开榨，降雨偏多又阻碍开榨进程，实际开榨厂家不及USDA预期，但总产量依然较高。上周四，Datagro上调巴西中南部预估产量至4160万吨，较三月预估上调115万吨。随着巴西新榨季产量逐渐兑现，国际市场进入供大于求的状态，期价承压运行。国内昨日夜盘白糖主力合约下跌1.06%。根据农业农村部上周五公布的供需预测，24/25年度甘蔗种植面积略增、甜菜种植面积大增，食糖产量保持恢复性增长，有望增至1100万吨，而消费量基本持平，国内食糖产需缺口缩小。基于当前供需格局分析，24/25年度产量增加或导致期价下降。但目前内外糖价都处于低位，期价寻求支撑，预计下跌空间不大，需留意价格反弹，建议投资者暂时观望。</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2156"/>
      <w:r>
        <w:rPr>
          <w:rFonts w:hint="eastAsia" w:ascii="楷体" w:hAnsi="楷体" w:eastAsia="楷体"/>
          <w:b/>
          <w:bCs/>
          <w:color w:val="000000" w:themeColor="text1"/>
          <w14:textFill>
            <w14:solidFill>
              <w14:schemeClr w14:val="tx1"/>
            </w14:solidFill>
          </w14:textFill>
        </w:rPr>
        <w:t>棉花：内外棉价略回暖，长期依旧弱势运行</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棉主力合约上涨0.41%，棉价小幅回暖。近期巴西暴雨导致湖泊河流触及最高水位，发生洪水地区棉花产量和质量受影响，或助力期价小幅上涨。但USDA公布五月预估的供需平衡表，2024/25年度全球产量消费均增，但产量增幅预计高于消费，整体数据中性偏空，长期期价仍可能偏弱运行。国内昨日夜盘棉花、棉纱主力合约分别上涨0.49%和0.50%，国内价格受外盘影响跟随变动。从供需方面来看，本年度棉花供应宽松，因纺企库存增加、降低开机率导致下游市场需求不足，整体表现为供需双弱但需求更弱。此外，新年度天气良好，暂时没有炒作空间，短期来看或仍维持弱势震荡走势，建议投资者保持观望态度。</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29125"/>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30556"/>
      <w:r>
        <w:rPr>
          <w:rFonts w:hint="eastAsia" w:ascii="Times New Roman" w:hAnsi="Times New Roman" w:eastAsia="楷体"/>
          <w:b/>
          <w:color w:val="000000" w:themeColor="text1"/>
          <w:sz w:val="24"/>
          <w:szCs w:val="24"/>
          <w14:textFill>
            <w14:solidFill>
              <w14:schemeClr w14:val="tx1"/>
            </w14:solidFill>
          </w14:textFill>
        </w:rPr>
        <w:t>集运指数（欧线）：提价落地SCFI大涨24%，EC合约继续集体创新高</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即期运价方面，5月10日公布SCFI数据，上海港出口至欧洲基本港市场运价（海运及海运附加费）为2869美元/TEU，较上期大幅上涨24.7%。目前现货处于涨价周期中，MSK昨日发布5月25日运价，小幅上调至3447/5280美元。</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地缘方面，哈马斯方面表示，本轮加沙停火谈判结束，哈马斯与以色列代表团均已离开开罗。消息人士称，以色列方面就人质协议提出允许其继续在拉法开展行动的前提，以色列对本轮谈判的要求持保留意见。意味着战事降温的预期落空，对海上运输供应链冲击的担忧仍存。</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情绪上来看，地缘性冲突不断，一定程度上对盘面造成情绪上的扰动，另外5月涨价基本落地，6月初逐步有新底价公布，对盘面起到一定支撑作用。之后需留意现货市场运价落实情况，以及需对中东局势保持关注。估计期价将短期维持较强形态。</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12779"/>
      <w:bookmarkStart w:id="40" w:name="_Toc98426751"/>
      <w:bookmarkStart w:id="41" w:name="_Toc19667"/>
      <w:bookmarkStart w:id="42" w:name="_Toc71212556"/>
      <w:bookmarkStart w:id="43" w:name="_Toc72481108"/>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2024年5月14日星期二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DB7710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3D146B7"/>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F15753"/>
    <w:rsid w:val="41F950F8"/>
    <w:rsid w:val="42EB3BA1"/>
    <w:rsid w:val="42F51780"/>
    <w:rsid w:val="43F11831"/>
    <w:rsid w:val="43F63E0D"/>
    <w:rsid w:val="44092E2E"/>
    <w:rsid w:val="441077D2"/>
    <w:rsid w:val="44396064"/>
    <w:rsid w:val="459609D9"/>
    <w:rsid w:val="45A37566"/>
    <w:rsid w:val="45CF0A85"/>
    <w:rsid w:val="46194A11"/>
    <w:rsid w:val="461E2AF1"/>
    <w:rsid w:val="47752ACA"/>
    <w:rsid w:val="47A71483"/>
    <w:rsid w:val="47C813F2"/>
    <w:rsid w:val="489B63EF"/>
    <w:rsid w:val="49BF13F0"/>
    <w:rsid w:val="49D75468"/>
    <w:rsid w:val="49E169F0"/>
    <w:rsid w:val="4A4A74EF"/>
    <w:rsid w:val="4A6F6249"/>
    <w:rsid w:val="4AB74C38"/>
    <w:rsid w:val="4B14426D"/>
    <w:rsid w:val="4B6224E5"/>
    <w:rsid w:val="4B8C4A56"/>
    <w:rsid w:val="4BF97936"/>
    <w:rsid w:val="4C2C4D07"/>
    <w:rsid w:val="4C457E30"/>
    <w:rsid w:val="4D2A3925"/>
    <w:rsid w:val="4D597189"/>
    <w:rsid w:val="4DB20386"/>
    <w:rsid w:val="4DF02D90"/>
    <w:rsid w:val="4E665CB5"/>
    <w:rsid w:val="4F7D0512"/>
    <w:rsid w:val="4FBA2B77"/>
    <w:rsid w:val="5005695E"/>
    <w:rsid w:val="50286811"/>
    <w:rsid w:val="51266B84"/>
    <w:rsid w:val="5191036A"/>
    <w:rsid w:val="546B5509"/>
    <w:rsid w:val="548642E9"/>
    <w:rsid w:val="54C12E33"/>
    <w:rsid w:val="55633225"/>
    <w:rsid w:val="563B25E1"/>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E133456"/>
    <w:rsid w:val="6ECB7DD2"/>
    <w:rsid w:val="6F1E315D"/>
    <w:rsid w:val="6F79454F"/>
    <w:rsid w:val="6FE61065"/>
    <w:rsid w:val="70675779"/>
    <w:rsid w:val="70C135EC"/>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78F5135"/>
    <w:rsid w:val="77B53D6B"/>
    <w:rsid w:val="77D54B08"/>
    <w:rsid w:val="78431DDA"/>
    <w:rsid w:val="784F7772"/>
    <w:rsid w:val="78713929"/>
    <w:rsid w:val="78E55995"/>
    <w:rsid w:val="79267C0B"/>
    <w:rsid w:val="79C90FB7"/>
    <w:rsid w:val="7A4975BA"/>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6408</Words>
  <Characters>6911</Characters>
  <Lines>80</Lines>
  <Paragraphs>22</Paragraphs>
  <TotalTime>0</TotalTime>
  <ScaleCrop>false</ScaleCrop>
  <LinksUpToDate>false</LinksUpToDate>
  <CharactersWithSpaces>6951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2024-05-14T01:45:36Z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