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_Toc9291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_Toc28674 </w:instrText>
          </w:r>
          <w:r>
            <w:rPr>
              <w:bCs/>
            </w:rPr>
            <w:fldChar w:fldCharType="separate"/>
          </w:r>
          <w:r>
            <w:rPr>
              <w:rFonts w:hint="eastAsia" w:ascii="Times New Roman" w:hAnsi="Times New Roman" w:eastAsia="楷体"/>
              <w:szCs w:val="24"/>
            </w:rPr>
            <w:t>股指：指数或进入高位震荡</w:t>
          </w:r>
          <w:r>
            <w:rPr>
              <w:bCs/>
            </w:rPr>
            <w:fldChar w:fldCharType="end"/>
          </w:r>
        </w:p>
        <w:p>
          <w:pPr>
            <w:pStyle w:val="59"/>
            <w:tabs>
              <w:tab w:val="right" w:leader="dot" w:pos="8306"/>
            </w:tabs>
          </w:pPr>
          <w:r>
            <w:rPr>
              <w:bCs/>
            </w:rPr>
            <w:fldChar w:fldCharType="begin"/>
          </w:r>
          <w:r>
            <w:rPr>
              <w:bCs/>
            </w:rPr>
            <w:instrText xml:space="preserve"> HYPERLINK \l _Toc31783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_Toc9418 </w:instrText>
          </w:r>
          <w:r>
            <w:rPr>
              <w:bCs/>
            </w:rPr>
            <w:fldChar w:fldCharType="separate"/>
          </w:r>
          <w:r>
            <w:rPr>
              <w:rFonts w:hint="eastAsia" w:ascii="Times New Roman" w:hAnsi="Times New Roman" w:eastAsia="楷体"/>
              <w:szCs w:val="24"/>
            </w:rPr>
            <w:t>贵金属：美联储官员提示过早降息存在风险，贵金属价格小幅下跌</w:t>
          </w:r>
          <w:r>
            <w:rPr>
              <w:bCs/>
            </w:rPr>
            <w:fldChar w:fldCharType="end"/>
          </w:r>
        </w:p>
        <w:p>
          <w:pPr>
            <w:pStyle w:val="59"/>
            <w:tabs>
              <w:tab w:val="right" w:leader="dot" w:pos="8306"/>
            </w:tabs>
          </w:pPr>
          <w:r>
            <w:rPr>
              <w:bCs/>
            </w:rPr>
            <w:fldChar w:fldCharType="begin"/>
          </w:r>
          <w:r>
            <w:rPr>
              <w:bCs/>
            </w:rPr>
            <w:instrText xml:space="preserve"> HYPERLINK \l _Toc13020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_Toc25384 </w:instrText>
          </w:r>
          <w:r>
            <w:rPr>
              <w:bCs/>
            </w:rPr>
            <w:fldChar w:fldCharType="separate"/>
          </w:r>
          <w:r>
            <w:rPr>
              <w:rFonts w:hint="eastAsia" w:ascii="楷体" w:hAnsi="楷体" w:eastAsia="楷体"/>
              <w:szCs w:val="24"/>
            </w:rPr>
            <w:t>碳酸锂：一季度全球电池装机维持增长，期价小幅回落</w:t>
          </w:r>
          <w:r>
            <w:rPr>
              <w:bCs/>
            </w:rPr>
            <w:fldChar w:fldCharType="end"/>
          </w:r>
        </w:p>
        <w:p>
          <w:pPr>
            <w:pStyle w:val="74"/>
            <w:tabs>
              <w:tab w:val="right" w:leader="dot" w:pos="8306"/>
            </w:tabs>
          </w:pPr>
          <w:r>
            <w:rPr>
              <w:bCs/>
            </w:rPr>
            <w:fldChar w:fldCharType="begin"/>
          </w:r>
          <w:r>
            <w:rPr>
              <w:bCs/>
            </w:rPr>
            <w:instrText xml:space="preserve"> HYPERLINK \l _Toc11116 </w:instrText>
          </w:r>
          <w:r>
            <w:rPr>
              <w:bCs/>
            </w:rPr>
            <w:fldChar w:fldCharType="separate"/>
          </w:r>
          <w:r>
            <w:rPr>
              <w:rFonts w:hint="eastAsia" w:ascii="楷体" w:hAnsi="楷体" w:eastAsia="楷体"/>
              <w:szCs w:val="24"/>
            </w:rPr>
            <w:t>铝：铝价短期区间窄幅震荡</w:t>
          </w:r>
          <w:r>
            <w:rPr>
              <w:bCs/>
            </w:rPr>
            <w:fldChar w:fldCharType="end"/>
          </w:r>
        </w:p>
        <w:p>
          <w:pPr>
            <w:pStyle w:val="74"/>
            <w:tabs>
              <w:tab w:val="right" w:leader="dot" w:pos="8306"/>
            </w:tabs>
          </w:pPr>
          <w:r>
            <w:rPr>
              <w:bCs/>
            </w:rPr>
            <w:fldChar w:fldCharType="begin"/>
          </w:r>
          <w:r>
            <w:rPr>
              <w:bCs/>
            </w:rPr>
            <w:instrText xml:space="preserve"> HYPERLINK \l _Toc19735 </w:instrText>
          </w:r>
          <w:r>
            <w:rPr>
              <w:bCs/>
            </w:rPr>
            <w:fldChar w:fldCharType="separate"/>
          </w:r>
          <w:r>
            <w:rPr>
              <w:rFonts w:hint="eastAsia" w:ascii="楷体" w:hAnsi="楷体" w:eastAsia="楷体"/>
              <w:szCs w:val="24"/>
            </w:rPr>
            <w:t>锌：观望23000前高支撑</w:t>
          </w:r>
          <w:r>
            <w:rPr>
              <w:bCs/>
            </w:rPr>
            <w:fldChar w:fldCharType="end"/>
          </w:r>
        </w:p>
        <w:p>
          <w:pPr>
            <w:pStyle w:val="74"/>
            <w:tabs>
              <w:tab w:val="right" w:leader="dot" w:pos="8306"/>
            </w:tabs>
          </w:pPr>
          <w:r>
            <w:rPr>
              <w:bCs/>
            </w:rPr>
            <w:fldChar w:fldCharType="begin"/>
          </w:r>
          <w:r>
            <w:rPr>
              <w:bCs/>
            </w:rPr>
            <w:instrText xml:space="preserve"> HYPERLINK \l _Toc9957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：短期回调对待</w:t>
          </w:r>
          <w:r>
            <w:rPr>
              <w:bCs/>
            </w:rPr>
            <w:fldChar w:fldCharType="end"/>
          </w:r>
        </w:p>
        <w:p>
          <w:pPr>
            <w:pStyle w:val="74"/>
            <w:tabs>
              <w:tab w:val="right" w:leader="dot" w:pos="8306"/>
            </w:tabs>
          </w:pPr>
          <w:r>
            <w:rPr>
              <w:bCs/>
            </w:rPr>
            <w:fldChar w:fldCharType="begin"/>
          </w:r>
          <w:r>
            <w:rPr>
              <w:bCs/>
            </w:rPr>
            <w:instrText xml:space="preserve"> HYPERLINK \l _Toc4734 </w:instrText>
          </w:r>
          <w:r>
            <w:rPr>
              <w:bCs/>
            </w:rPr>
            <w:fldChar w:fldCharType="separate"/>
          </w:r>
          <w:r>
            <w:rPr>
              <w:rFonts w:hint="eastAsia" w:ascii="楷体" w:hAnsi="楷体" w:eastAsia="楷体"/>
              <w:szCs w:val="24"/>
            </w:rPr>
            <w:t>镍：基本面偏弱，带来回调压力</w:t>
          </w:r>
          <w:r>
            <w:rPr>
              <w:bCs/>
            </w:rPr>
            <w:fldChar w:fldCharType="end"/>
          </w:r>
        </w:p>
        <w:p>
          <w:pPr>
            <w:pStyle w:val="74"/>
            <w:tabs>
              <w:tab w:val="right" w:leader="dot" w:pos="8306"/>
            </w:tabs>
          </w:pPr>
          <w:r>
            <w:rPr>
              <w:bCs/>
            </w:rPr>
            <w:fldChar w:fldCharType="begin"/>
          </w:r>
          <w:r>
            <w:rPr>
              <w:bCs/>
            </w:rPr>
            <w:instrText xml:space="preserve"> HYPERLINK \l _Toc1109 </w:instrText>
          </w:r>
          <w:r>
            <w:rPr>
              <w:bCs/>
            </w:rPr>
            <w:fldChar w:fldCharType="separate"/>
          </w:r>
          <w:r>
            <w:rPr>
              <w:rFonts w:hint="eastAsia" w:ascii="楷体" w:hAnsi="楷体" w:eastAsia="楷体"/>
              <w:szCs w:val="24"/>
            </w:rPr>
            <w:t>不锈钢：成本支撑与供应压力交织，观望为主</w:t>
          </w:r>
          <w:r>
            <w:rPr>
              <w:bCs/>
            </w:rPr>
            <w:fldChar w:fldCharType="end"/>
          </w:r>
        </w:p>
        <w:p>
          <w:pPr>
            <w:pStyle w:val="74"/>
            <w:tabs>
              <w:tab w:val="right" w:leader="dot" w:pos="8306"/>
            </w:tabs>
          </w:pPr>
          <w:r>
            <w:rPr>
              <w:bCs/>
            </w:rPr>
            <w:fldChar w:fldCharType="begin"/>
          </w:r>
          <w:r>
            <w:rPr>
              <w:bCs/>
            </w:rPr>
            <w:instrText xml:space="preserve"> HYPERLINK \l _Toc29142 </w:instrText>
          </w:r>
          <w:r>
            <w:rPr>
              <w:bCs/>
            </w:rPr>
            <w:fldChar w:fldCharType="separate"/>
          </w:r>
          <w:r>
            <w:rPr>
              <w:rFonts w:hint="eastAsia" w:ascii="楷体" w:hAnsi="楷体" w:eastAsia="楷体"/>
              <w:szCs w:val="24"/>
            </w:rPr>
            <w:t>工业硅：西南复产预期下，上方压力仍存</w:t>
          </w:r>
          <w:r>
            <w:rPr>
              <w:bCs/>
            </w:rPr>
            <w:fldChar w:fldCharType="end"/>
          </w:r>
        </w:p>
        <w:p>
          <w:pPr>
            <w:pStyle w:val="59"/>
            <w:tabs>
              <w:tab w:val="right" w:leader="dot" w:pos="8306"/>
            </w:tabs>
          </w:pPr>
          <w:r>
            <w:rPr>
              <w:bCs/>
            </w:rPr>
            <w:fldChar w:fldCharType="begin"/>
          </w:r>
          <w:r>
            <w:rPr>
              <w:bCs/>
            </w:rPr>
            <w:instrText xml:space="preserve"> HYPERLINK \l _Toc32116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_Toc18091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成本端止跌 天胶短期下方空间有限</w:t>
          </w:r>
          <w:r>
            <w:rPr>
              <w:bCs/>
            </w:rPr>
            <w:fldChar w:fldCharType="end"/>
          </w:r>
        </w:p>
        <w:p>
          <w:pPr>
            <w:pStyle w:val="74"/>
            <w:tabs>
              <w:tab w:val="right" w:leader="dot" w:pos="8306"/>
            </w:tabs>
          </w:pPr>
          <w:r>
            <w:rPr>
              <w:bCs/>
            </w:rPr>
            <w:fldChar w:fldCharType="begin"/>
          </w:r>
          <w:r>
            <w:rPr>
              <w:bCs/>
            </w:rPr>
            <w:instrText xml:space="preserve"> HYPERLINK \l _Toc11647 </w:instrText>
          </w:r>
          <w:r>
            <w:rPr>
              <w:bCs/>
            </w:rPr>
            <w:fldChar w:fldCharType="separate"/>
          </w:r>
          <w:r>
            <w:rPr>
              <w:rFonts w:hint="eastAsia" w:ascii="楷体" w:hAnsi="楷体" w:eastAsia="楷体"/>
              <w:szCs w:val="24"/>
            </w:rPr>
            <w:t>聚烯烃：供需双弱 聚烯烃或高位回调为主</w:t>
          </w:r>
          <w:r>
            <w:rPr>
              <w:bCs/>
            </w:rPr>
            <w:fldChar w:fldCharType="end"/>
          </w:r>
        </w:p>
        <w:p>
          <w:pPr>
            <w:pStyle w:val="74"/>
            <w:tabs>
              <w:tab w:val="right" w:leader="dot" w:pos="8306"/>
            </w:tabs>
          </w:pPr>
          <w:r>
            <w:rPr>
              <w:bCs/>
            </w:rPr>
            <w:fldChar w:fldCharType="begin"/>
          </w:r>
          <w:r>
            <w:rPr>
              <w:bCs/>
            </w:rPr>
            <w:instrText xml:space="preserve"> HYPERLINK \l _Toc23941 </w:instrText>
          </w:r>
          <w:r>
            <w:rPr>
              <w:bCs/>
            </w:rPr>
            <w:fldChar w:fldCharType="separate"/>
          </w:r>
          <w:r>
            <w:rPr>
              <w:rFonts w:hint="eastAsia" w:ascii="楷体" w:hAnsi="楷体" w:eastAsia="楷体"/>
              <w:szCs w:val="24"/>
            </w:rPr>
            <w:t>玻璃：基差回归弱现实，期价高位震荡</w:t>
          </w:r>
          <w:r>
            <w:rPr>
              <w:bCs/>
            </w:rPr>
            <w:fldChar w:fldCharType="end"/>
          </w:r>
        </w:p>
        <w:p>
          <w:pPr>
            <w:pStyle w:val="74"/>
            <w:tabs>
              <w:tab w:val="right" w:leader="dot" w:pos="8306"/>
            </w:tabs>
          </w:pPr>
          <w:r>
            <w:rPr>
              <w:bCs/>
            </w:rPr>
            <w:fldChar w:fldCharType="begin"/>
          </w:r>
          <w:r>
            <w:rPr>
              <w:bCs/>
            </w:rPr>
            <w:instrText xml:space="preserve"> HYPERLINK \l _Toc23583 </w:instrText>
          </w:r>
          <w:r>
            <w:rPr>
              <w:bCs/>
            </w:rPr>
            <w:fldChar w:fldCharType="separate"/>
          </w:r>
          <w:r>
            <w:rPr>
              <w:rFonts w:hint="eastAsia" w:ascii="楷体" w:hAnsi="楷体" w:eastAsia="楷体"/>
              <w:szCs w:val="24"/>
            </w:rPr>
            <w:t>纯碱：周内累库，等待基差回归</w:t>
          </w:r>
          <w:r>
            <w:rPr>
              <w:bCs/>
            </w:rPr>
            <w:fldChar w:fldCharType="end"/>
          </w:r>
        </w:p>
        <w:p>
          <w:pPr>
            <w:pStyle w:val="59"/>
            <w:tabs>
              <w:tab w:val="right" w:leader="dot" w:pos="8306"/>
            </w:tabs>
          </w:pPr>
          <w:r>
            <w:rPr>
              <w:bCs/>
            </w:rPr>
            <w:fldChar w:fldCharType="begin"/>
          </w:r>
          <w:r>
            <w:rPr>
              <w:bCs/>
            </w:rPr>
            <w:instrText xml:space="preserve"> HYPERLINK \l _Toc16318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_Toc5199 </w:instrText>
          </w:r>
          <w:r>
            <w:rPr>
              <w:bCs/>
            </w:rPr>
            <w:fldChar w:fldCharType="separate"/>
          </w:r>
          <w:r>
            <w:rPr>
              <w:rFonts w:hint="eastAsia" w:ascii="楷体" w:hAnsi="楷体" w:eastAsia="楷体"/>
              <w:bCs/>
            </w:rPr>
            <w:t>玉米与淀粉：</w:t>
          </w:r>
          <w:r>
            <w:rPr>
              <w:rFonts w:hint="eastAsia" w:ascii="楷体" w:hAnsi="楷体" w:eastAsia="楷体"/>
            </w:rPr>
            <w:t>期价震荡偏强运行</w:t>
          </w:r>
          <w:r>
            <w:rPr>
              <w:bCs/>
            </w:rPr>
            <w:fldChar w:fldCharType="end"/>
          </w:r>
        </w:p>
        <w:p>
          <w:pPr>
            <w:pStyle w:val="74"/>
            <w:tabs>
              <w:tab w:val="right" w:leader="dot" w:pos="8306"/>
            </w:tabs>
          </w:pPr>
          <w:r>
            <w:rPr>
              <w:bCs/>
            </w:rPr>
            <w:fldChar w:fldCharType="begin"/>
          </w:r>
          <w:r>
            <w:rPr>
              <w:bCs/>
            </w:rPr>
            <w:instrText xml:space="preserve"> HYPERLINK \l _Toc32580 </w:instrText>
          </w:r>
          <w:r>
            <w:rPr>
              <w:bCs/>
            </w:rPr>
            <w:fldChar w:fldCharType="separate"/>
          </w:r>
          <w:r>
            <w:rPr>
              <w:rFonts w:hint="eastAsia" w:ascii="楷体" w:hAnsi="楷体" w:eastAsia="楷体"/>
              <w:bCs/>
            </w:rPr>
            <w:t>畜禽养殖：鸡蛋期价近强远弱</w:t>
          </w:r>
          <w:r>
            <w:rPr>
              <w:bCs/>
            </w:rPr>
            <w:fldChar w:fldCharType="end"/>
          </w:r>
        </w:p>
        <w:p>
          <w:pPr>
            <w:pStyle w:val="74"/>
            <w:tabs>
              <w:tab w:val="right" w:leader="dot" w:pos="8306"/>
            </w:tabs>
          </w:pPr>
          <w:r>
            <w:rPr>
              <w:bCs/>
            </w:rPr>
            <w:fldChar w:fldCharType="begin"/>
          </w:r>
          <w:r>
            <w:rPr>
              <w:bCs/>
            </w:rPr>
            <w:instrText xml:space="preserve"> HYPERLINK \l _Toc3992 </w:instrText>
          </w:r>
          <w:r>
            <w:rPr>
              <w:bCs/>
            </w:rPr>
            <w:fldChar w:fldCharType="separate"/>
          </w:r>
          <w:r>
            <w:rPr>
              <w:rFonts w:hint="eastAsia" w:ascii="楷体" w:hAnsi="楷体" w:eastAsia="楷体"/>
              <w:bCs/>
            </w:rPr>
            <w:t>白糖：内外期价走势分化，长期依旧偏空</w:t>
          </w:r>
          <w:r>
            <w:rPr>
              <w:bCs/>
            </w:rPr>
            <w:fldChar w:fldCharType="end"/>
          </w:r>
        </w:p>
        <w:p>
          <w:pPr>
            <w:pStyle w:val="74"/>
            <w:tabs>
              <w:tab w:val="right" w:leader="dot" w:pos="8306"/>
            </w:tabs>
          </w:pPr>
          <w:r>
            <w:rPr>
              <w:bCs/>
            </w:rPr>
            <w:fldChar w:fldCharType="begin"/>
          </w:r>
          <w:r>
            <w:rPr>
              <w:bCs/>
            </w:rPr>
            <w:instrText xml:space="preserve"> HYPERLINK \l _Toc2414 </w:instrText>
          </w:r>
          <w:r>
            <w:rPr>
              <w:bCs/>
            </w:rPr>
            <w:fldChar w:fldCharType="separate"/>
          </w:r>
          <w:r>
            <w:rPr>
              <w:rFonts w:hint="eastAsia" w:ascii="楷体" w:hAnsi="楷体" w:eastAsia="楷体"/>
              <w:bCs/>
            </w:rPr>
            <w:t>棉花：美棉大涨，郑棉小跌</w:t>
          </w:r>
          <w:r>
            <w:rPr>
              <w:bCs/>
            </w:rPr>
            <w:fldChar w:fldCharType="end"/>
          </w:r>
        </w:p>
        <w:p>
          <w:pPr>
            <w:pStyle w:val="59"/>
            <w:tabs>
              <w:tab w:val="right" w:leader="dot" w:pos="8306"/>
            </w:tabs>
          </w:pPr>
          <w:r>
            <w:rPr>
              <w:bCs/>
            </w:rPr>
            <w:fldChar w:fldCharType="begin"/>
          </w:r>
          <w:r>
            <w:rPr>
              <w:bCs/>
            </w:rPr>
            <w:instrText xml:space="preserve"> HYPERLINK \l _Toc40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_Toc312 </w:instrText>
          </w:r>
          <w:r>
            <w:rPr>
              <w:bCs/>
            </w:rPr>
            <w:fldChar w:fldCharType="separate"/>
          </w:r>
          <w:r>
            <w:rPr>
              <w:rFonts w:hint="eastAsia" w:ascii="Times New Roman" w:hAnsi="Times New Roman" w:eastAsia="楷体"/>
              <w:szCs w:val="24"/>
            </w:rPr>
            <w:t>集运指数（欧线）：以色列拒绝停火协议，远月合约超跌反弹</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9291"/>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28674"/>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指数或进入高位震荡</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节后各宽基指数高开，股指期权隐波整体表现平淡，相较于节前下降且并未出现近高远底状态，意味着指数短期或进入高位盘整状态，能否继续向上突破，可关注股指期权近月隐波是否出现大幅上行信号。</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31783"/>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9418"/>
      <w:r>
        <w:rPr>
          <w:rFonts w:hint="eastAsia" w:ascii="Times New Roman" w:hAnsi="Times New Roman" w:eastAsia="楷体"/>
          <w:b/>
          <w:color w:val="000000" w:themeColor="text1"/>
          <w:sz w:val="24"/>
          <w:szCs w:val="24"/>
          <w14:textFill>
            <w14:solidFill>
              <w14:schemeClr w14:val="tx1"/>
            </w14:solidFill>
          </w14:textFill>
        </w:rPr>
        <w:t>贵金属：美联储官员提示过早降息存在风险，贵金属价格小幅下跌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跌0.11%至548.72元/克，沪银跌0.23%至7091元/千克。美联储柯林斯表示，达到2%通胀目标可能需要比预期更长的时间；美联储政策对当前前景处于良好位置；过早降息存在风险，2024年未见进一步通胀回落进展；预计需求最终将放缓，但时间不确定。美国上周红皮书商业零售销售同比上升6%，前值升5.5%。欧洲央行管委温施表示，看到今年有启动降息的路径，有降息50个基点空间，但具体时间将取决于数据。瑞典央行将政策利率降低25个基点至3.75%，并暗示今年下半年可能还会有两次降息。巴西央行下调关键利率25个基点至10.50%。沪金、沪银短线或震荡调整，美联储主席表态偏鸽、美国4月非农走弱令降息预期小幅回升，后续市场或主要基于美国经济和通胀表现调整降息预期，由于年内降息仍为大概率事件，全球央行持续购金亦对金价形成一定支撑，建议贵金属中长期思路以偏多为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13020"/>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5384"/>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碳酸锂：一季度全球电池装机维持增长，期价小幅回落</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小幅回落，07合约跌1.62%至112050元/吨。工信部就《锂电池行业规范条件及公告管理办法（征求意见稿）》征求意见，《意见稿》明确，引导锂电池企业减少单纯扩大产能的制造项目，加强技术创新、提高产品质量、降低生产成本。锂电池企业每年用于研发及工艺改进的费用不低于主营业务收入3%。 5月7日，SNE Research发布数据显示，一季度全球各类电池装机总量158.8GWh，同比增22%。宁德时代电池装机量60.1GWh，同比增31.9%；比亚迪电池装机量22.7GWh，同比增11.9%。5月8日，雅保100吨电池级碳酸锂招标最终结果为111000元/吨（含税，眉山自提）。环保督察组进驻江西，关注后续锂渣处理等环保因素对当地锂企生产的影响。汽车以旧换新政策落地后，多家车企已配合推出相应优惠和补贴政策，后续或持续拉动新能源车需求，但正极材料端的原料补库需求一定程度上已前置兑现，终端对碳酸锂需求的拉动作用仍有待观察。供需双增，现货市场成交寡淡，上下游博弈期间期价或维持区间震荡。</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11116"/>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铝价短期区间窄幅震荡</w:t>
      </w:r>
      <w:bookmarkEnd w:id="2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发言表示降息时点要看通胀控制情况决定，国内宏观延续向好。矿端供应偏紧，生产成本抬升，广西铝棒冶炼厂家因加工费低迷影响计划集体停产，目前正在与铝水供应商争取优惠政策，节后铝棒库存出现累库，若消息为真，铝棒生产大幅关停，对铝水需求减弱，短期内原料价格或有所承压，但在国家对地产、基建消费支持的背景之下，铝棒下游需求刚性仍存，新能源消费支撑用铝乐观需求，基本面整体情况稳定，突发消息对盘面情绪影响相对有限，价格短期内或窄幅震荡在20000-21000区间。</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19735"/>
      <w:r>
        <w:rPr>
          <w:rFonts w:hint="eastAsia" w:ascii="楷体" w:hAnsi="楷体" w:eastAsia="楷体"/>
          <w:b/>
          <w:color w:val="000000" w:themeColor="text1"/>
          <w:sz w:val="24"/>
          <w:szCs w:val="24"/>
          <w14:textFill>
            <w14:solidFill>
              <w14:schemeClr w14:val="tx1"/>
            </w14:solidFill>
          </w14:textFill>
        </w:rPr>
        <w:t>锌：观望23000前高支撑</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锌矿供应趋紧，TC持续下调接近历史低位，生产成本持续推高，Nyrstar宣布将于5月13日重启炼厂，海外供应预期走增，国内冶炼生产保持高位，精炼锌冶炼企业利润负反馈，利润集中在矿端，进口盈亏窗口关闭，进口端补充相对有限。下游企业开工率环比提增但同比仍在相对低位，交易所库存到达历史高位出现去库拐点，主因假期前刚性需求补库，现货保持贴水行情。日内盘面情绪走弱，隔夜锌价下破23000支撑后再度修复，目前23000一线支撑仍有效，建议暂时观望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9957"/>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：短期回调对待</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(1)产业：印尼总统佐科·维多多（Joko Widodo）周三对记者表示，印尼自由港（Freeport Indonesia）和安曼矿业公司（Amman Mineral Nusa Tenggara）的铜精矿出口许可将延长，并称延长的细节仍在计算中。目前的许可定于5月31日到期。</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(2)库存：5月8日，SHFE仓单库存216714吨，增2242吨；LME仓单库存106000吨，减1350吨。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(3)精废价差：5月8日，Mysteel精废价差3626，收窄696。目前价差在合理价差1496之上。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在与印尼就延长出口许可进行积极谈判后，自由港麦克莫兰公司正准备从6月份开始从其Grasberg铜矿出口多达90万吨的铜精矿。该消息一定程度上缓解市场前期矿资源紧张预期，沪铜持仓量有所下降，价格呈现回调态势，五一节后国内库存重返升势，对价格延续上涨有所牵制，但宏观交易逻辑暂未明显转变，短期价格回调对待，关注78700附近支撑。</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4734"/>
      <w:r>
        <w:rPr>
          <w:rFonts w:hint="eastAsia" w:ascii="楷体" w:hAnsi="楷体" w:eastAsia="楷体"/>
          <w:b/>
          <w:color w:val="000000" w:themeColor="text1"/>
          <w:sz w:val="24"/>
          <w:szCs w:val="24"/>
          <w14:textFill>
            <w14:solidFill>
              <w14:schemeClr w14:val="tx1"/>
            </w14:solidFill>
          </w14:textFill>
        </w:rPr>
        <w:t>镍：基本面偏弱，带来回调压力</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端，近期海运费上涨，印尼镍矿流通资源仍偏紧。硫酸镍端，据悉印尼镍中间品将延期到港，预计节后镍中间品及硫酸镍在现货偏紧情况下价格持稳。需求端，下游三元前驱体厂家刚需采购为主，终端新能源汽车市场对三元材料需求增速放缓；由于利润可观，5月不锈钢厂排产维持高位。供应端，Mysteel预计5月国内精炼镍产量预计26500吨，环比增加6.37%。库存方面，5月6日Mysteel社会库存为35236吨，周降幅2.98%，主要由于节前下游刚需补库。综合而言，本轮宏观利好情绪已明显抬升镍价重心，在基本面偏弱情况下镍价难以承接这部分涨势，加上美元指数回升也使得宏观情绪边际降温，镍价存在回调压力，但考虑到近期原料端偏紧给予镍价较强底部支撑，短期镍价下方空间也有限，关注宏观叙事变化及印尼镍矿供应进展。</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109"/>
      <w:r>
        <w:rPr>
          <w:rFonts w:hint="eastAsia" w:ascii="楷体" w:hAnsi="楷体" w:eastAsia="楷体"/>
          <w:b/>
          <w:color w:val="000000" w:themeColor="text1"/>
          <w:sz w:val="24"/>
          <w:szCs w:val="24"/>
          <w14:textFill>
            <w14:solidFill>
              <w14:schemeClr w14:val="tx1"/>
            </w14:solidFill>
          </w14:textFill>
        </w:rPr>
        <w:t>不锈钢：成本支撑与供应压力交织，观望为主</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端，印尼镍矿RKAB审批未闻新消息，目前印尼镍矿流通资源仍偏紧，镍矿价格坚挺。镍铁端据Mysteel调研，近期华南镍生铁采购价为970-975元/镍（到厂含税）高位水平，成交量数万吨，不锈钢成本支撑犹存。供应方面， Mysteel预计5月不锈钢粗钢排产为332万吨左右，排产处于高位水平。需求方面，近期下游成交冷清，宏观利好政策对实际需求的提振仍有待观察。库存方面，由于下游节前刚需补库，上周社会库存小幅去库，但仓单库存处于历史新高水平。综合而言，一方面，印尼镍矿流通资源偏紧及镍铁价格维持高位为不锈钢带来成本支撑；另一方面，5月钢厂排产较高，而下游对当前不锈钢价格接受有限，成交氛围冷清，仓单库存历史高位，供应压力或为不锈钢价格带来回调风险，多空交织下建议观望为主。</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29142"/>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西南复产预期下，上方压力仍存</w:t>
      </w:r>
      <w:bookmarkEnd w:id="25"/>
    </w:p>
    <w:p>
      <w:pPr>
        <w:ind w:left="630" w:leftChars="300"/>
        <w:rPr>
          <w:rFonts w:ascii="楷体" w:hAnsi="楷体" w:eastAsia="楷体"/>
          <w:sz w:val="24"/>
          <w:szCs w:val="24"/>
        </w:rPr>
      </w:pPr>
      <w:r>
        <w:rPr>
          <w:rFonts w:hint="eastAsia" w:ascii="楷体" w:hAnsi="楷体" w:eastAsia="楷体"/>
          <w:sz w:val="24"/>
          <w:szCs w:val="24"/>
        </w:rPr>
        <w:t>5月8日，Si2406主力合约呈下行走势，收盘价11860元/吨，较上一收盘价涨跌幅-0.79%。近期，下游阶段性释放刚需采购，叠加新疆大厂挺价，市场情绪有所修复，盘面出现一定程度反弹。由于5月份四川步入平水期，电价出现一定程度下调，当地工厂已陆续恢复生产，后续仍有较大复产空间，供应存在增加预期，盘面反弹高度或受限，预计短期维持震荡走势，参考区间（11500，12500）。策略上，建议波段操作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32116"/>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18091"/>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成本端止跌 天胶短期下方空间有限</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目前看，云南产区有传天气偏干，开割不顺。海南产区物候条件优越，已经开割。短期海内外产区原料价格仍然偏强。港口库存方面，近期由于进口量减少，因此港口库存持续去化。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3-4月车企优惠政策延续。根据工信部最新公布的新车上市名录里面可以看到，多家车企的新车型与换代车型将于近期发售，亦将刺激未来汽车销售增长预期。整体看，近期海外原料价格虽止涨回调，但仍处于偏强水平，一定程度上对胶价存底部支撑。但短期天胶上方压力受泰国即将进入旺产季节影响依旧较大，胶价或震荡整理为主。</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11647"/>
      <w:r>
        <w:rPr>
          <w:rFonts w:hint="eastAsia" w:ascii="楷体" w:hAnsi="楷体" w:eastAsia="楷体"/>
          <w:b/>
          <w:color w:val="000000" w:themeColor="text1"/>
          <w:sz w:val="24"/>
          <w:szCs w:val="24"/>
          <w14:textFill>
            <w14:solidFill>
              <w14:schemeClr w14:val="tx1"/>
            </w14:solidFill>
          </w14:textFill>
        </w:rPr>
        <w:t>聚烯烃：供需双弱 聚烯烃或高位回调为主</w:t>
      </w:r>
      <w:bookmarkEnd w:id="29"/>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临近假期，下游工厂有提前备货的补库需求。PP进口窗口关闭，LL进口利润与PP出口利润盈亏平衡附近。聚烯烃供需双弱，成本端波动较大，预计聚烯烃高位回调为主。</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0" w:name="_Toc23941"/>
      <w:r>
        <w:rPr>
          <w:rFonts w:hint="eastAsia" w:ascii="楷体" w:hAnsi="楷体" w:eastAsia="楷体"/>
          <w:b/>
          <w:color w:val="000000" w:themeColor="text1"/>
          <w:sz w:val="24"/>
          <w:szCs w:val="24"/>
          <w14:textFill>
            <w14:solidFill>
              <w14:schemeClr w14:val="tx1"/>
            </w14:solidFill>
          </w14:textFill>
        </w:rPr>
        <w:t>玻璃：基差回归弱现实，期价高位震荡</w:t>
      </w:r>
      <w:bookmarkEnd w:id="3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5月8日报道:今日浮法玻璃现货价格1689元/吨，较上一交易日持平。供给上，日熔量17.45万吨/天。库存上，截止20240506，全国浮法玻璃样本企业总库存6181.6万重箱，环比+188.4万重箱，环比+3.14%，同比+36.54%，周内累库。现货端，华北地区产销良好，稳价为主，湖北库存压力较大，降价销售。宏观方面国内4月30日政治局会议提到房地产化解存量优化增量，提振市场对地产化债问题解决的信心，一线城市房价短期来看有一定企稳迹象，整体宏观预期偏强，盘面上，终端实际需求不温不火，宏观强预期驱动期价上行升水现货，未见到连续累库之前，下半年地产需求由弱转强预期无法证伪，但弱现实压制上方空间，期价升水之后追多风险加大，操作上，短线等待回调低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1" w:name="_Toc23583"/>
      <w:r>
        <w:rPr>
          <w:rFonts w:hint="eastAsia" w:ascii="楷体" w:hAnsi="楷体" w:eastAsia="楷体"/>
          <w:b/>
          <w:color w:val="000000" w:themeColor="text1"/>
          <w:sz w:val="24"/>
          <w:szCs w:val="24"/>
          <w14:textFill>
            <w14:solidFill>
              <w14:schemeClr w14:val="tx1"/>
            </w14:solidFill>
          </w14:textFill>
        </w:rPr>
        <w:t>纯碱：周内累库，等待基差回归</w:t>
      </w:r>
      <w:bookmarkEnd w:id="3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节后碱厂以稳价为主，华中和华北的重碱成交在2150-2200元/吨附近，轻碱2050-2100元/吨。从供给端来看，隆众资讯5月2日报道:本周纯碱产量74.01万吨，环比增加0.97万吨，涨幅</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1.34%。从库存上看，截止到2024年5月6日，本周国内纯碱厂家总库存89.57万吨，环比4月29日涨3.53万吨，涨幅4.10%，累库。需求端表现平稳，轻碱订单较好，重碱走弱，贸易商出货情绪走强。盘面上，节前多空离场，期价回落至平水附近，节后虽然库存出现累库，但短期碱厂仍有挺价意愿，上下游围绕价格博弈，盘面上，近期政策较多，下游浮法和光伏玻璃需求预期转强，商品情绪转强，纯碱期价上行，但需要注意的是当前强预期与弱现实较为割裂，当前现货市场纯碱并不紧张，贸易商出货情绪较强，期价升水以后谨慎追多，可以等待期价回调后再低多。</w:t>
      </w:r>
    </w:p>
    <w:p>
      <w:pPr>
        <w:ind w:left="630" w:leftChars="300"/>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16318"/>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ascii="楷体" w:hAnsi="楷体" w:eastAsia="楷体"/>
          <w:b/>
        </w:rPr>
      </w:pPr>
      <w:bookmarkStart w:id="33" w:name="_Toc5199"/>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期价震荡偏强运行</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国内玉米可以概括为为产销区定价权的争夺，突出体现在产销区（南方销区-东北产区）玉米价差和华北-东北玉米价差上，这反映东北产区高价玉米往华北和华南的传导不畅，这有源于当前市场供应相对充足。这一格局从全国范围上讲需要国内玉米年度产需缺口逐步体现，分区域来看需要看到供应压力逐步释放，南方销区需要看到饲用谷物特别是内外贸玉米库存的下滑，华北产区则需要看到玉米余粮和新麦上市压力的释放。我们基于年度产需缺口预期维持谨慎看多观点，接下来重点关注新作小麦产量前景、小麦收抛储政策与进口玉米抛储政策等。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影响淀粉-玉米价差的各方面因素仍存在较大的不确定性，行业供需层面行业开机率或呈现区域分化，而需求端亦存在变数；副产品端取决于蛋白粕，这需要留意外盘美豆走势和国内豆粕供需；原料成本端华北-东北玉米价差的变动也有可能加大，因市场对华北玉米供需可能存在误判。考虑到盘面生产利润特别是远月合约已经转负，我们倾向于认为，淀粉-玉米价差下方收窄空间受限。综上所述，我们维持谨慎看多观点，建议前期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4" w:name="_Toc32580"/>
      <w:r>
        <w:rPr>
          <w:rFonts w:hint="eastAsia" w:ascii="楷体" w:hAnsi="楷体" w:eastAsia="楷体"/>
          <w:b/>
          <w:bCs/>
          <w:color w:val="000000" w:themeColor="text1"/>
          <w14:textFill>
            <w14:solidFill>
              <w14:schemeClr w14:val="tx1"/>
            </w14:solidFill>
          </w14:textFill>
        </w:rPr>
        <w:t>畜禽养殖：鸡蛋期价近强远弱</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行业产能去化即能繁母猪存栏持续下滑合理预期远期趋于改善，这体现在期价远月升水结构上，市场分歧更多在于供需改善的幅度，主要源于两个方面，其一是产能去化是否达到足以改变行业供需格局的水平，其二是生产效率的提升可能对冲产能去化对生猪实际供应下降的影响。从农业农村部公布的2023年4季度末生猪存栏来看，今年上半年生猪供应量同比下降4%左右，考虑到节后以来的压栏惜售和二次育肥带动生猪出栏体重同比上升，这意味着二季度供需改善幅度或受限。而从2024年1季度末生猪存栏继续环比下降来看，三季度供应阶段性下降或更为确定，这主要源于去年四季度非瘟疫情加上养殖户资金问题加速淘汰，仔猪价格1月以来加速上涨亦可印证。综上所述，考虑到二季度供需改善幅度限制猪价上涨空间，而市场对后市的看涨预期依然强烈同样抑制现货回落空间，我们预计期价或延续区间震荡，期价需要等待现货新一轮上涨，在这种情况下，近月更多关注现货与基差，而远月更多关注仔猪价格走势。据此我们中期谨慎看多，短期维持中性观点，建议投资者观望为宜，等待再次入场机会。</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近期蛋鸡养殖转为亏损之后，养殖户淘汰积极性上升，蛋鸡淘汰日龄、淘汰鸡价格及周度淘汰量均可以印证，这有望改善远期鸡蛋供需，但需要指出的是，这种产能去化需要持续一段时间才能够改变鸡蛋的供需格局。从原料成本角度看，考虑到鸡蛋养殖利润因行业供需处于往年同期低位，饲料成本因素对鸡蛋养殖利润的影响或相对大于生猪，在这种情况下，需要特别留意饲料原料即豆粕和玉米上涨的持续性。在这种情况下，我们总体倾向于鸡蛋期价或延续低位震荡，等待行业产能去化，短期影响因素包括现货基差、饲料原料成本及其市场预期变动等。我们维持中性观点，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5" w:name="_Toc3992"/>
      <w:r>
        <w:rPr>
          <w:rFonts w:hint="eastAsia" w:ascii="楷体" w:hAnsi="楷体" w:eastAsia="楷体"/>
          <w:b/>
          <w:bCs/>
          <w:color w:val="000000" w:themeColor="text1"/>
          <w14:textFill>
            <w14:solidFill>
              <w14:schemeClr w14:val="tx1"/>
            </w14:solidFill>
          </w14:textFill>
        </w:rPr>
        <w:t>白糖：内外期价走势分化，长期依旧偏空</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昨日外盘纽约ICE原糖主力合约下跌1.6%，伦敦ICE白砂糖主力合约下跌1.91%，外盘近期宽幅震荡。国际食糖组织(ISO) 表示巴西比正常水平更干燥的天气导致甘蔗更快成熟，使糖厂能够加快榨糖速度，这将导致大量糖提早上市。同时，据咨询公司Datagro昨日报道，全球糖市2024/25年度将有162万吨的小幅过剩，而2023/24年度为179万吨的供应缺口，供应增加给糖价施压。需求方面，ISO预计2024/25年度全球糖需求将增长280万吨，达到1.821亿吨的纪录高位。供需双增的预期使糖价宽幅震荡。国内昨日夜盘白糖主力合约上涨0.05%，未跟随外盘变动，但其他主要合约呈下跌态势。近日公布的广西、内蒙四月数据良好，同时各地报价上涨，或是主力合约价格上涨的原因。但目前关于国内新榨季供应量的预期不确定，且无更多市场驱动新信号，预计期价仍旧跟随外盘变动，建议投资者维持观望态度。</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6" w:name="_Toc2414"/>
      <w:r>
        <w:rPr>
          <w:rFonts w:hint="eastAsia" w:ascii="楷体" w:hAnsi="楷体" w:eastAsia="楷体"/>
          <w:b/>
          <w:bCs/>
          <w:color w:val="000000" w:themeColor="text1"/>
          <w14:textFill>
            <w14:solidFill>
              <w14:schemeClr w14:val="tx1"/>
            </w14:solidFill>
          </w14:textFill>
        </w:rPr>
        <w:t>棉花：美棉大涨，郑棉小跌</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棉大涨3.05%，据ICE公布数据，截止5月7日，ICE可交割2号棉库存为168770包，上一交易日为184790包，库存大幅减少。同时，本年度美国种植意向低于预期，有望缓解供应宽松的压力。加之此前美棉一直在低位徘徊，此波利多信号助力棉价强势反弹。但长期来看，后续澳棉、巴西棉即陆续上市，为本年度提供充沛供应；需求端受外围环境高利率影响，下游需求难见明显复苏，本年度消费预期上调空间有限。整体来看，目前全球供需格局整体维持平衡偏松状态，预计期价震荡偏弱运行。国内昨日夜盘棉花主力合约下跌0.29%，棉纱主力合约上涨0.19%。目前国内维持需求疲弱局面且无新的驱动因素，棉价跟随外盘变动。总体来说，长期依旧无支撑棉价信号，建议暂时保持观望态度。</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7" w:name="_Toc40"/>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312"/>
      <w:r>
        <w:rPr>
          <w:rFonts w:hint="eastAsia" w:ascii="Times New Roman" w:hAnsi="Times New Roman" w:eastAsia="楷体"/>
          <w:b/>
          <w:color w:val="000000" w:themeColor="text1"/>
          <w:sz w:val="24"/>
          <w:szCs w:val="24"/>
          <w14:textFill>
            <w14:solidFill>
              <w14:schemeClr w14:val="tx1"/>
            </w14:solidFill>
          </w14:textFill>
        </w:rPr>
        <w:t>集运指数（欧线）：以色列拒绝停火协议，远月合约超跌反弹</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现货方面，5月6日，上海出口集装箱结算运价指数（SCFIS）欧洲线收于2208.83点，环比上涨1.5%，SCFIS走势稳定。</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供给方面，集运公司依惯例在中国五一长假减少班次，有利于支撑运价。另外，三家航运巨头马士基、达飞、MSC均大幅上调5月份的报价，市场对5月运价中枢的预期显著上调，为远期盘面形成支撑。马士基将部分港口18周大柜自原先的$3800/FEU推涨至$4500/FEU。</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盘面来看，近日合约保持强势，远月合约受消息面影响。由于中东局势变化，以色列方面拒绝停火协议并继续作出袭击行动，远月合约有所反弹。但投资者应慎防短期波动风险。未来关注点为5月份提价效果以及中东局势走向，近期交易风险较大，建议投资者保持观望。</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98426751"/>
      <w:bookmarkStart w:id="40" w:name="_Toc12779"/>
      <w:bookmarkStart w:id="41" w:name="_Toc71212556"/>
      <w:bookmarkStart w:id="42" w:name="_Toc72481108"/>
      <w:bookmarkStart w:id="43" w:name="_Toc19667"/>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2024年5月9日星期四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4C17862"/>
    <w:rsid w:val="057D13AE"/>
    <w:rsid w:val="064A667C"/>
    <w:rsid w:val="06B2613D"/>
    <w:rsid w:val="06B753E3"/>
    <w:rsid w:val="08A51999"/>
    <w:rsid w:val="09B849A4"/>
    <w:rsid w:val="09F160E3"/>
    <w:rsid w:val="0AC64130"/>
    <w:rsid w:val="0B42525D"/>
    <w:rsid w:val="0C1F7DEE"/>
    <w:rsid w:val="0C88769D"/>
    <w:rsid w:val="0CDE660D"/>
    <w:rsid w:val="0D032A7C"/>
    <w:rsid w:val="0DB77106"/>
    <w:rsid w:val="0F662138"/>
    <w:rsid w:val="0F9B0CE9"/>
    <w:rsid w:val="0FF35275"/>
    <w:rsid w:val="100732C8"/>
    <w:rsid w:val="10DA6205"/>
    <w:rsid w:val="111441F0"/>
    <w:rsid w:val="113D3FD2"/>
    <w:rsid w:val="121F7D21"/>
    <w:rsid w:val="129B2E20"/>
    <w:rsid w:val="12AA5DF8"/>
    <w:rsid w:val="132A04C1"/>
    <w:rsid w:val="1330029C"/>
    <w:rsid w:val="134E6356"/>
    <w:rsid w:val="13AE24B4"/>
    <w:rsid w:val="15364A7C"/>
    <w:rsid w:val="15602ADB"/>
    <w:rsid w:val="15D52593"/>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B5089"/>
    <w:rsid w:val="23D146B7"/>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3CE5AF4"/>
    <w:rsid w:val="340E7198"/>
    <w:rsid w:val="34A75784"/>
    <w:rsid w:val="3581551C"/>
    <w:rsid w:val="35D65FDD"/>
    <w:rsid w:val="36C14F46"/>
    <w:rsid w:val="373F75CC"/>
    <w:rsid w:val="38F320AA"/>
    <w:rsid w:val="39584559"/>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EE419C"/>
    <w:rsid w:val="3EFE09FD"/>
    <w:rsid w:val="3F345DBE"/>
    <w:rsid w:val="40F15753"/>
    <w:rsid w:val="41F950F8"/>
    <w:rsid w:val="42EB3BA1"/>
    <w:rsid w:val="43F11831"/>
    <w:rsid w:val="43F63E0D"/>
    <w:rsid w:val="44092E2E"/>
    <w:rsid w:val="441077D2"/>
    <w:rsid w:val="44396064"/>
    <w:rsid w:val="459609D9"/>
    <w:rsid w:val="45A37566"/>
    <w:rsid w:val="45CF0A85"/>
    <w:rsid w:val="46194A11"/>
    <w:rsid w:val="461E2AF1"/>
    <w:rsid w:val="47752ACA"/>
    <w:rsid w:val="47A71483"/>
    <w:rsid w:val="47C813F2"/>
    <w:rsid w:val="489B63EF"/>
    <w:rsid w:val="49BF13F0"/>
    <w:rsid w:val="49D75468"/>
    <w:rsid w:val="49E169F0"/>
    <w:rsid w:val="4A4A74EF"/>
    <w:rsid w:val="4A6F6249"/>
    <w:rsid w:val="4AB74C38"/>
    <w:rsid w:val="4B14426D"/>
    <w:rsid w:val="4B6224E5"/>
    <w:rsid w:val="4B8C4A56"/>
    <w:rsid w:val="4BF97936"/>
    <w:rsid w:val="4C457E30"/>
    <w:rsid w:val="4D2A3925"/>
    <w:rsid w:val="4D597189"/>
    <w:rsid w:val="4DB20386"/>
    <w:rsid w:val="4DF02D90"/>
    <w:rsid w:val="4E665CB5"/>
    <w:rsid w:val="4F7D0512"/>
    <w:rsid w:val="4FBA2B77"/>
    <w:rsid w:val="5005695E"/>
    <w:rsid w:val="50286811"/>
    <w:rsid w:val="51266B84"/>
    <w:rsid w:val="5191036A"/>
    <w:rsid w:val="546B5509"/>
    <w:rsid w:val="548642E9"/>
    <w:rsid w:val="54C12E33"/>
    <w:rsid w:val="55633225"/>
    <w:rsid w:val="563B25E1"/>
    <w:rsid w:val="56DD4D3A"/>
    <w:rsid w:val="57555A7B"/>
    <w:rsid w:val="5770382C"/>
    <w:rsid w:val="57846909"/>
    <w:rsid w:val="57CB522F"/>
    <w:rsid w:val="57F46FBE"/>
    <w:rsid w:val="58042686"/>
    <w:rsid w:val="58246D5D"/>
    <w:rsid w:val="58EC5960"/>
    <w:rsid w:val="59151C86"/>
    <w:rsid w:val="59C52328"/>
    <w:rsid w:val="5AD37D8A"/>
    <w:rsid w:val="5AF87BF9"/>
    <w:rsid w:val="5B906095"/>
    <w:rsid w:val="5BF60A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B292599"/>
    <w:rsid w:val="6D9172E5"/>
    <w:rsid w:val="6E133456"/>
    <w:rsid w:val="6ECB7DD2"/>
    <w:rsid w:val="6F1E315D"/>
    <w:rsid w:val="6F79454F"/>
    <w:rsid w:val="6FE61065"/>
    <w:rsid w:val="70675779"/>
    <w:rsid w:val="712C7DE8"/>
    <w:rsid w:val="713E0334"/>
    <w:rsid w:val="716F5E64"/>
    <w:rsid w:val="72417AFE"/>
    <w:rsid w:val="729B5F03"/>
    <w:rsid w:val="72D92B78"/>
    <w:rsid w:val="72F62A89"/>
    <w:rsid w:val="731B289D"/>
    <w:rsid w:val="737357AF"/>
    <w:rsid w:val="74163BE4"/>
    <w:rsid w:val="74A928A6"/>
    <w:rsid w:val="75292EAC"/>
    <w:rsid w:val="755A5FEF"/>
    <w:rsid w:val="75775016"/>
    <w:rsid w:val="758E0106"/>
    <w:rsid w:val="7626762C"/>
    <w:rsid w:val="778F5135"/>
    <w:rsid w:val="77B53D6B"/>
    <w:rsid w:val="77D54B08"/>
    <w:rsid w:val="78431DDA"/>
    <w:rsid w:val="784F7772"/>
    <w:rsid w:val="78713929"/>
    <w:rsid w:val="78E55995"/>
    <w:rsid w:val="79267C0B"/>
    <w:rsid w:val="79C90FB7"/>
    <w:rsid w:val="7A5B105F"/>
    <w:rsid w:val="7A9E5DA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6408</Words>
  <Characters>6911</Characters>
  <Lines>80</Lines>
  <Paragraphs>22</Paragraphs>
  <TotalTime>0</TotalTime>
  <ScaleCrop>false</ScaleCrop>
  <LinksUpToDate>false</LinksUpToDate>
  <CharactersWithSpaces>6951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2024-05-09T01:29:08Z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