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4" w:name="_GoBack"/>
          <w:bookmarkEnd w:id="44"/>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_Toc4881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_Toc7675 </w:instrText>
          </w:r>
          <w:r>
            <w:rPr>
              <w:bCs/>
            </w:rPr>
            <w:fldChar w:fldCharType="separate"/>
          </w:r>
          <w:r>
            <w:rPr>
              <w:rFonts w:hint="eastAsia" w:ascii="Times New Roman" w:hAnsi="Times New Roman" w:eastAsia="楷体"/>
              <w:szCs w:val="24"/>
            </w:rPr>
            <w:t>股指：短线可试多IM</w:t>
          </w:r>
          <w:r>
            <w:rPr>
              <w:bCs/>
            </w:rPr>
            <w:fldChar w:fldCharType="end"/>
          </w:r>
        </w:p>
        <w:p>
          <w:pPr>
            <w:pStyle w:val="59"/>
            <w:tabs>
              <w:tab w:val="right" w:leader="dot" w:pos="8306"/>
            </w:tabs>
          </w:pPr>
          <w:r>
            <w:rPr>
              <w:bCs/>
            </w:rPr>
            <w:fldChar w:fldCharType="begin"/>
          </w:r>
          <w:r>
            <w:rPr>
              <w:bCs/>
            </w:rPr>
            <w:instrText xml:space="preserve"> HYPERLINK \l _Toc22479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_Toc9168 </w:instrText>
          </w:r>
          <w:r>
            <w:rPr>
              <w:bCs/>
            </w:rPr>
            <w:fldChar w:fldCharType="separate"/>
          </w:r>
          <w:r>
            <w:rPr>
              <w:rFonts w:hint="eastAsia" w:ascii="Times New Roman" w:hAnsi="Times New Roman" w:eastAsia="楷体"/>
              <w:szCs w:val="24"/>
            </w:rPr>
            <w:t>贵金属：全球央行持续增持黄金储备，贵金属价格反弹</w:t>
          </w:r>
          <w:r>
            <w:rPr>
              <w:bCs/>
            </w:rPr>
            <w:fldChar w:fldCharType="end"/>
          </w:r>
        </w:p>
        <w:p>
          <w:pPr>
            <w:pStyle w:val="59"/>
            <w:tabs>
              <w:tab w:val="right" w:leader="dot" w:pos="8306"/>
            </w:tabs>
          </w:pPr>
          <w:r>
            <w:rPr>
              <w:bCs/>
            </w:rPr>
            <w:fldChar w:fldCharType="begin"/>
          </w:r>
          <w:r>
            <w:rPr>
              <w:bCs/>
            </w:rPr>
            <w:instrText xml:space="preserve"> HYPERLINK \l _Toc30656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_Toc9922 </w:instrText>
          </w:r>
          <w:r>
            <w:rPr>
              <w:bCs/>
            </w:rPr>
            <w:fldChar w:fldCharType="separate"/>
          </w:r>
          <w:r>
            <w:rPr>
              <w:rFonts w:hint="eastAsia" w:ascii="楷体" w:hAnsi="楷体" w:eastAsia="楷体"/>
              <w:szCs w:val="24"/>
            </w:rPr>
            <w:t>碳酸锂：智利碳酸锂出口量环比高增，主力期价小幅下跌</w:t>
          </w:r>
          <w:r>
            <w:rPr>
              <w:bCs/>
            </w:rPr>
            <w:fldChar w:fldCharType="end"/>
          </w:r>
        </w:p>
        <w:p>
          <w:pPr>
            <w:pStyle w:val="74"/>
            <w:tabs>
              <w:tab w:val="right" w:leader="dot" w:pos="8306"/>
            </w:tabs>
          </w:pPr>
          <w:r>
            <w:rPr>
              <w:bCs/>
            </w:rPr>
            <w:fldChar w:fldCharType="begin"/>
          </w:r>
          <w:r>
            <w:rPr>
              <w:bCs/>
            </w:rPr>
            <w:instrText xml:space="preserve"> HYPERLINK \l _Toc24888 </w:instrText>
          </w:r>
          <w:r>
            <w:rPr>
              <w:bCs/>
            </w:rPr>
            <w:fldChar w:fldCharType="separate"/>
          </w:r>
          <w:r>
            <w:rPr>
              <w:rFonts w:hint="eastAsia" w:ascii="楷体" w:hAnsi="楷体" w:eastAsia="楷体"/>
              <w:szCs w:val="24"/>
            </w:rPr>
            <w:t>铝：铝价趋势上维持偏多观点</w:t>
          </w:r>
          <w:r>
            <w:rPr>
              <w:bCs/>
            </w:rPr>
            <w:fldChar w:fldCharType="end"/>
          </w:r>
        </w:p>
        <w:p>
          <w:pPr>
            <w:pStyle w:val="74"/>
            <w:tabs>
              <w:tab w:val="right" w:leader="dot" w:pos="8306"/>
            </w:tabs>
          </w:pPr>
          <w:r>
            <w:rPr>
              <w:bCs/>
            </w:rPr>
            <w:fldChar w:fldCharType="begin"/>
          </w:r>
          <w:r>
            <w:rPr>
              <w:bCs/>
            </w:rPr>
            <w:instrText xml:space="preserve"> HYPERLINK \l _Toc17298 </w:instrText>
          </w:r>
          <w:r>
            <w:rPr>
              <w:bCs/>
            </w:rPr>
            <w:fldChar w:fldCharType="separate"/>
          </w:r>
          <w:r>
            <w:rPr>
              <w:rFonts w:hint="eastAsia" w:ascii="楷体" w:hAnsi="楷体" w:eastAsia="楷体"/>
              <w:szCs w:val="24"/>
            </w:rPr>
            <w:t>锌：锌价回调幅度较小，前高支撑依然有效</w:t>
          </w:r>
          <w:r>
            <w:rPr>
              <w:bCs/>
            </w:rPr>
            <w:fldChar w:fldCharType="end"/>
          </w:r>
        </w:p>
        <w:p>
          <w:pPr>
            <w:pStyle w:val="74"/>
            <w:tabs>
              <w:tab w:val="right" w:leader="dot" w:pos="8306"/>
            </w:tabs>
          </w:pPr>
          <w:r>
            <w:rPr>
              <w:bCs/>
            </w:rPr>
            <w:fldChar w:fldCharType="begin"/>
          </w:r>
          <w:r>
            <w:rPr>
              <w:bCs/>
            </w:rPr>
            <w:instrText xml:space="preserve"> HYPERLINK \l _Toc28354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：维持偏强态势</w:t>
          </w:r>
          <w:r>
            <w:rPr>
              <w:bCs/>
            </w:rPr>
            <w:fldChar w:fldCharType="end"/>
          </w:r>
        </w:p>
        <w:p>
          <w:pPr>
            <w:pStyle w:val="74"/>
            <w:tabs>
              <w:tab w:val="right" w:leader="dot" w:pos="8306"/>
            </w:tabs>
          </w:pPr>
          <w:r>
            <w:rPr>
              <w:bCs/>
            </w:rPr>
            <w:fldChar w:fldCharType="begin"/>
          </w:r>
          <w:r>
            <w:rPr>
              <w:bCs/>
            </w:rPr>
            <w:instrText xml:space="preserve"> HYPERLINK \l _Toc8231 </w:instrText>
          </w:r>
          <w:r>
            <w:rPr>
              <w:bCs/>
            </w:rPr>
            <w:fldChar w:fldCharType="separate"/>
          </w:r>
          <w:r>
            <w:rPr>
              <w:rFonts w:hint="eastAsia" w:ascii="楷体" w:hAnsi="楷体" w:eastAsia="楷体"/>
              <w:szCs w:val="24"/>
            </w:rPr>
            <w:t>镍：底部支撑较强，关注宏观情绪变化</w:t>
          </w:r>
          <w:r>
            <w:rPr>
              <w:bCs/>
            </w:rPr>
            <w:fldChar w:fldCharType="end"/>
          </w:r>
        </w:p>
        <w:p>
          <w:pPr>
            <w:pStyle w:val="74"/>
            <w:tabs>
              <w:tab w:val="right" w:leader="dot" w:pos="8306"/>
            </w:tabs>
          </w:pPr>
          <w:r>
            <w:rPr>
              <w:bCs/>
            </w:rPr>
            <w:fldChar w:fldCharType="begin"/>
          </w:r>
          <w:r>
            <w:rPr>
              <w:bCs/>
            </w:rPr>
            <w:instrText xml:space="preserve"> HYPERLINK \l _Toc13837 </w:instrText>
          </w:r>
          <w:r>
            <w:rPr>
              <w:bCs/>
            </w:rPr>
            <w:fldChar w:fldCharType="separate"/>
          </w:r>
          <w:r>
            <w:rPr>
              <w:rFonts w:hint="eastAsia" w:ascii="楷体" w:hAnsi="楷体" w:eastAsia="楷体"/>
              <w:szCs w:val="24"/>
            </w:rPr>
            <w:t>不锈钢：多空交织，观望为主</w:t>
          </w:r>
          <w:r>
            <w:rPr>
              <w:bCs/>
            </w:rPr>
            <w:fldChar w:fldCharType="end"/>
          </w:r>
        </w:p>
        <w:p>
          <w:pPr>
            <w:pStyle w:val="74"/>
            <w:tabs>
              <w:tab w:val="right" w:leader="dot" w:pos="8306"/>
            </w:tabs>
          </w:pPr>
          <w:r>
            <w:rPr>
              <w:bCs/>
            </w:rPr>
            <w:fldChar w:fldCharType="begin"/>
          </w:r>
          <w:r>
            <w:rPr>
              <w:bCs/>
            </w:rPr>
            <w:instrText xml:space="preserve"> HYPERLINK \l _Toc27981 </w:instrText>
          </w:r>
          <w:r>
            <w:rPr>
              <w:bCs/>
            </w:rPr>
            <w:fldChar w:fldCharType="separate"/>
          </w:r>
          <w:r>
            <w:rPr>
              <w:rFonts w:hint="eastAsia" w:ascii="楷体" w:hAnsi="楷体" w:eastAsia="楷体"/>
              <w:szCs w:val="24"/>
            </w:rPr>
            <w:t>工业硅：多空博弈下，短期或震荡运行</w:t>
          </w:r>
          <w:r>
            <w:rPr>
              <w:bCs/>
            </w:rPr>
            <w:fldChar w:fldCharType="end"/>
          </w:r>
        </w:p>
        <w:p>
          <w:pPr>
            <w:pStyle w:val="59"/>
            <w:tabs>
              <w:tab w:val="right" w:leader="dot" w:pos="8306"/>
            </w:tabs>
          </w:pPr>
          <w:r>
            <w:rPr>
              <w:bCs/>
            </w:rPr>
            <w:fldChar w:fldCharType="begin"/>
          </w:r>
          <w:r>
            <w:rPr>
              <w:bCs/>
            </w:rPr>
            <w:instrText xml:space="preserve"> HYPERLINK \l _Toc14113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_Toc15256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泰国进入开割季 天胶短期或偏弱整理</w:t>
          </w:r>
          <w:r>
            <w:rPr>
              <w:bCs/>
            </w:rPr>
            <w:fldChar w:fldCharType="end"/>
          </w:r>
        </w:p>
        <w:p>
          <w:pPr>
            <w:pStyle w:val="74"/>
            <w:tabs>
              <w:tab w:val="right" w:leader="dot" w:pos="8306"/>
            </w:tabs>
          </w:pPr>
          <w:r>
            <w:rPr>
              <w:bCs/>
            </w:rPr>
            <w:fldChar w:fldCharType="begin"/>
          </w:r>
          <w:r>
            <w:rPr>
              <w:bCs/>
            </w:rPr>
            <w:instrText xml:space="preserve"> HYPERLINK \l _Toc13900 </w:instrText>
          </w:r>
          <w:r>
            <w:rPr>
              <w:bCs/>
            </w:rPr>
            <w:fldChar w:fldCharType="separate"/>
          </w:r>
          <w:r>
            <w:rPr>
              <w:rFonts w:hint="eastAsia" w:ascii="楷体" w:hAnsi="楷体" w:eastAsia="楷体"/>
              <w:szCs w:val="24"/>
            </w:rPr>
            <w:t>聚烯烃：供需双弱 聚烯烃或偏弱整理为主</w:t>
          </w:r>
          <w:r>
            <w:rPr>
              <w:bCs/>
            </w:rPr>
            <w:fldChar w:fldCharType="end"/>
          </w:r>
        </w:p>
        <w:p>
          <w:pPr>
            <w:pStyle w:val="74"/>
            <w:tabs>
              <w:tab w:val="right" w:leader="dot" w:pos="8306"/>
            </w:tabs>
          </w:pPr>
          <w:r>
            <w:rPr>
              <w:bCs/>
            </w:rPr>
            <w:fldChar w:fldCharType="begin"/>
          </w:r>
          <w:r>
            <w:rPr>
              <w:bCs/>
            </w:rPr>
            <w:instrText xml:space="preserve"> HYPERLINK \l _Toc25625 </w:instrText>
          </w:r>
          <w:r>
            <w:rPr>
              <w:bCs/>
            </w:rPr>
            <w:fldChar w:fldCharType="separate"/>
          </w:r>
          <w:r>
            <w:rPr>
              <w:rFonts w:hint="eastAsia" w:ascii="楷体" w:hAnsi="楷体" w:eastAsia="楷体"/>
              <w:szCs w:val="24"/>
            </w:rPr>
            <w:t>玻璃：宏观政策驱动，强预期弱现实</w:t>
          </w:r>
          <w:r>
            <w:rPr>
              <w:bCs/>
            </w:rPr>
            <w:fldChar w:fldCharType="end"/>
          </w:r>
        </w:p>
        <w:p>
          <w:pPr>
            <w:pStyle w:val="74"/>
            <w:tabs>
              <w:tab w:val="right" w:leader="dot" w:pos="8306"/>
            </w:tabs>
          </w:pPr>
          <w:r>
            <w:rPr>
              <w:bCs/>
            </w:rPr>
            <w:fldChar w:fldCharType="begin"/>
          </w:r>
          <w:r>
            <w:rPr>
              <w:bCs/>
            </w:rPr>
            <w:instrText xml:space="preserve"> HYPERLINK \l _Toc7783 </w:instrText>
          </w:r>
          <w:r>
            <w:rPr>
              <w:bCs/>
            </w:rPr>
            <w:fldChar w:fldCharType="separate"/>
          </w:r>
          <w:r>
            <w:rPr>
              <w:rFonts w:hint="eastAsia" w:ascii="楷体" w:hAnsi="楷体" w:eastAsia="楷体"/>
              <w:szCs w:val="24"/>
            </w:rPr>
            <w:t>纯碱：商品情绪转强，等待需求验证</w:t>
          </w:r>
          <w:r>
            <w:rPr>
              <w:bCs/>
            </w:rPr>
            <w:fldChar w:fldCharType="end"/>
          </w:r>
        </w:p>
        <w:p>
          <w:pPr>
            <w:pStyle w:val="59"/>
            <w:tabs>
              <w:tab w:val="right" w:leader="dot" w:pos="8306"/>
            </w:tabs>
          </w:pPr>
          <w:r>
            <w:rPr>
              <w:bCs/>
            </w:rPr>
            <w:fldChar w:fldCharType="begin"/>
          </w:r>
          <w:r>
            <w:rPr>
              <w:bCs/>
            </w:rPr>
            <w:instrText xml:space="preserve"> HYPERLINK \l _Toc3082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_Toc30315 </w:instrText>
          </w:r>
          <w:r>
            <w:rPr>
              <w:bCs/>
            </w:rPr>
            <w:fldChar w:fldCharType="separate"/>
          </w:r>
          <w:r>
            <w:rPr>
              <w:rFonts w:hint="eastAsia" w:ascii="楷体" w:hAnsi="楷体" w:eastAsia="楷体"/>
              <w:bCs/>
            </w:rPr>
            <w:t>玉米与淀粉：</w:t>
          </w:r>
          <w:r>
            <w:rPr>
              <w:rFonts w:hint="eastAsia" w:ascii="楷体" w:hAnsi="楷体" w:eastAsia="楷体"/>
            </w:rPr>
            <w:t>期价低位反弹</w:t>
          </w:r>
          <w:r>
            <w:rPr>
              <w:bCs/>
            </w:rPr>
            <w:fldChar w:fldCharType="end"/>
          </w:r>
        </w:p>
        <w:p>
          <w:pPr>
            <w:pStyle w:val="74"/>
            <w:tabs>
              <w:tab w:val="right" w:leader="dot" w:pos="8306"/>
            </w:tabs>
          </w:pPr>
          <w:r>
            <w:rPr>
              <w:bCs/>
            </w:rPr>
            <w:fldChar w:fldCharType="begin"/>
          </w:r>
          <w:r>
            <w:rPr>
              <w:bCs/>
            </w:rPr>
            <w:instrText xml:space="preserve"> HYPERLINK \l _Toc17057 </w:instrText>
          </w:r>
          <w:r>
            <w:rPr>
              <w:bCs/>
            </w:rPr>
            <w:fldChar w:fldCharType="separate"/>
          </w:r>
          <w:r>
            <w:rPr>
              <w:rFonts w:hint="eastAsia" w:ascii="楷体" w:hAnsi="楷体" w:eastAsia="楷体"/>
              <w:bCs/>
            </w:rPr>
            <w:t>畜禽养殖：生猪期价止跌回升</w:t>
          </w:r>
          <w:r>
            <w:rPr>
              <w:bCs/>
            </w:rPr>
            <w:fldChar w:fldCharType="end"/>
          </w:r>
        </w:p>
        <w:p>
          <w:pPr>
            <w:pStyle w:val="74"/>
            <w:tabs>
              <w:tab w:val="right" w:leader="dot" w:pos="8306"/>
            </w:tabs>
          </w:pPr>
          <w:r>
            <w:rPr>
              <w:bCs/>
            </w:rPr>
            <w:fldChar w:fldCharType="begin"/>
          </w:r>
          <w:r>
            <w:rPr>
              <w:bCs/>
            </w:rPr>
            <w:instrText xml:space="preserve"> HYPERLINK \l _Toc3169 </w:instrText>
          </w:r>
          <w:r>
            <w:rPr>
              <w:bCs/>
            </w:rPr>
            <w:fldChar w:fldCharType="separate"/>
          </w:r>
          <w:r>
            <w:rPr>
              <w:rFonts w:hint="eastAsia" w:ascii="楷体" w:hAnsi="楷体" w:eastAsia="楷体"/>
              <w:bCs/>
            </w:rPr>
            <w:t>白糖：糖价持续回暖，但依旧无明显看多信号</w:t>
          </w:r>
          <w:r>
            <w:rPr>
              <w:bCs/>
            </w:rPr>
            <w:fldChar w:fldCharType="end"/>
          </w:r>
        </w:p>
        <w:p>
          <w:pPr>
            <w:pStyle w:val="74"/>
            <w:tabs>
              <w:tab w:val="right" w:leader="dot" w:pos="8306"/>
            </w:tabs>
          </w:pPr>
          <w:r>
            <w:rPr>
              <w:bCs/>
            </w:rPr>
            <w:fldChar w:fldCharType="begin"/>
          </w:r>
          <w:r>
            <w:rPr>
              <w:bCs/>
            </w:rPr>
            <w:instrText xml:space="preserve"> HYPERLINK \l _Toc29349 </w:instrText>
          </w:r>
          <w:r>
            <w:rPr>
              <w:bCs/>
            </w:rPr>
            <w:fldChar w:fldCharType="separate"/>
          </w:r>
          <w:r>
            <w:rPr>
              <w:rFonts w:hint="eastAsia" w:ascii="楷体" w:hAnsi="楷体" w:eastAsia="楷体"/>
              <w:bCs/>
            </w:rPr>
            <w:t>棉花：内外盘双跌，暂无企稳信号</w:t>
          </w:r>
          <w:r>
            <w:rPr>
              <w:bCs/>
            </w:rPr>
            <w:fldChar w:fldCharType="end"/>
          </w:r>
        </w:p>
        <w:p>
          <w:pPr>
            <w:pStyle w:val="59"/>
            <w:tabs>
              <w:tab w:val="right" w:leader="dot" w:pos="8306"/>
            </w:tabs>
          </w:pPr>
          <w:r>
            <w:rPr>
              <w:bCs/>
            </w:rPr>
            <w:fldChar w:fldCharType="begin"/>
          </w:r>
          <w:r>
            <w:rPr>
              <w:bCs/>
            </w:rPr>
            <w:instrText xml:space="preserve"> HYPERLINK \l _Toc18750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_Toc28026 </w:instrText>
          </w:r>
          <w:r>
            <w:rPr>
              <w:bCs/>
            </w:rPr>
            <w:fldChar w:fldCharType="separate"/>
          </w:r>
          <w:r>
            <w:rPr>
              <w:rFonts w:hint="eastAsia" w:ascii="Times New Roman" w:hAnsi="Times New Roman" w:eastAsia="楷体"/>
              <w:szCs w:val="24"/>
            </w:rPr>
            <w:t>集运指数（欧线）：短期利多因素促成近强远弱格局，节后需观察延续性</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488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767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短线可试多IM</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海外宏观边际提升市场风险偏好，叠加港股市场强劲涨势，情绪或向节后A股传导。短期在多方面短期逻辑集中发酵及业绩期结束，市场高切低操作下，中小盘反弹是在情理之中，并已于节前开始反应，但整体向上弹性有限，中期来看，高股息中期占优，高切低快速轮动后有望回归提升，短线可试多IM，待高股息调整到位后再转向IF。</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247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9168"/>
      <w:r>
        <w:rPr>
          <w:rFonts w:hint="eastAsia" w:ascii="Times New Roman" w:hAnsi="Times New Roman" w:eastAsia="楷体"/>
          <w:b/>
          <w:color w:val="000000" w:themeColor="text1"/>
          <w:sz w:val="24"/>
          <w:szCs w:val="24"/>
          <w14:textFill>
            <w14:solidFill>
              <w14:schemeClr w14:val="tx1"/>
            </w14:solidFill>
          </w14:textFill>
        </w:rPr>
        <w:t>贵金属：全球央行持续增持黄金储备，贵金属价格反弹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0.77%至550.46元/克；沪银涨1.81%至7139元/千克。据世界黄金协会数据，一季度矿生金产量同比增4%至893吨，黄金回收量受此前金价上行所推动，同比增12%至351吨；今年一季度全球央行增持黄金储备290吨，其中我国央行一季度累计购金27吨，贡献最大增量，连续17个月增持黄金；另外，韩国央行亦宣布考虑中长期内买入更多黄金。欧元区4月服务业PMI终值53.3，综合PMI终值51.7，略高于预期及前值。沪金、沪银短线或震荡调整，美联储主席表态偏鸽、美国4月非农走弱令降息预期小幅回升，后续市场或主要基于美国经济和通胀表现调整降息预期，由于年内降息仍为大概率事件，全球央行持续购金亦对金价形成一定支撑，建议中长期思路以偏多为主。</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30656"/>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9922"/>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碳酸锂：智利碳酸锂出口量环比高增，主力期价小幅下跌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多数下跌，07合约收跌0.75%至112400元/吨，远月合约小幅上涨。4月国内碳酸锂产量环比增24%至约5.3万吨，总体供应维持小幅过剩。其中进口持续存在增量预期，对供应形成补充，4月智利碳酸锂出口至国内约22900吨，环比增42.27%，同比增162.25%。宜春上月发布文件要求2025年9月1日之后，未经鉴别明确固废属性的锂渣需按照危险废物标准贮存，在此之前可按现有条件在普通仓库贮存，但要加强管理。环保要求趋严但主要对未来云母提锂生产成本带来影响，过渡期以内影响暂相对较小。汽车以旧换新政策落地后，多家车企已配合推出相应优惠和补贴政策，后续或持续拉动新能源车需求，但正极材料端的原料补库需求一定程度上已前置兑现，终端对碳酸锂需求的拉动作用仍有待观察。供需双增，上下游博弈期间期价或维持区间震荡。</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24888"/>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铝价趋势上维持偏多观点</w:t>
      </w:r>
      <w:bookmarkEnd w:id="2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联储发言偏鸽，缩减量化紧缩规模，超出市场预期，美国4月季调非农数据表现低于预期，市场降息预期由11月提前至9月。国内PMI数据在荣枯线之上，提振市场消费信心。目前电解铝生产保持高位，云南持续释放复产产能，当地部分地区干旱，复产节奏雨季后有所提速，需求端持续修复，铝杆、铝板带箔企业开工率高位，传统消费疲弱依旧，新能源板块支撑需求，出口消费提振，铝棒、铝锭库存出现去库拐点，需求消费仍有乐观预期，节后铝市价格站稳向上突破，趋势上仍保持看多观点。</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17298"/>
      <w:r>
        <w:rPr>
          <w:rFonts w:hint="eastAsia" w:ascii="楷体" w:hAnsi="楷体" w:eastAsia="楷体"/>
          <w:b/>
          <w:color w:val="000000" w:themeColor="text1"/>
          <w:sz w:val="24"/>
          <w:szCs w:val="24"/>
          <w14:textFill>
            <w14:solidFill>
              <w14:schemeClr w14:val="tx1"/>
            </w14:solidFill>
          </w14:textFill>
        </w:rPr>
        <w:t>锌：锌价回调幅度较小，前高支撑依然有效</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市场高温退去，联储5月FOMC决议维持高利率，鲍威尔表示加息可能较低，降息时点路径仍待确认，国内制造业PMI维持在荣枯线之上，市场消费信心有所修复。锌矿供应趋紧，TC持续下调接近历史低位，生产成本持续推高，Nyrstar宣布将于5月13日重启炼厂，海外供应预期走增，国内冶炼生产保持高位，精炼锌冶炼企业利润负反馈，利润集中在矿端，进口盈亏窗口关闭，进口端补充相对有限。下游企业开工率环比提增但同比仍在相对低位，交易所库存到达历史高位出现去库拐点，主因假期前刚性需求补库，现货保持贴水行情。整体上看，沪锌价格节前快速走高，节后回调幅度较小，观望23000一线前高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835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：维持偏强态势</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(1)产业：中国4月财新服务业PMI 52.5，连续16个月扩张。4月服务业景气度维持恢复态势，新业务量创下近一年来最高增速，财新综合PMI上升至52.8，为11个月以来最高点。</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(2)库存：5月6日，SHFE仓单库存205244吨，增3888吨；LME休市一天。</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(3)精废价差：5月6日，Mysteel精废价差4161，收窄187。目前价差在合理价差1507之上。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综述：海外经济持续复苏受到一定扰动，美国4月ISM及MARKIT制造业PMI均回到收缩区间，货币政策上，联储暂未重回鹰派预期管理，对市场暂无明显 负面影响。国内经济保持复苏态势，制造业PMI持续运行在扩张区间，各地房地产政策频出，整体经济呈现边际好转预期。基本面层面的供应收缩预期交易逻辑仍在持续，关注节后中下游需求及库存变化情况。短期无明显利空的情况下铜价回调空间或不大，偏强态势大概率将延续，主波动区间参考80000-83000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8231"/>
      <w:r>
        <w:rPr>
          <w:rFonts w:hint="eastAsia" w:ascii="楷体" w:hAnsi="楷体" w:eastAsia="楷体"/>
          <w:b/>
          <w:color w:val="000000" w:themeColor="text1"/>
          <w:sz w:val="24"/>
          <w:szCs w:val="24"/>
          <w14:textFill>
            <w14:solidFill>
              <w14:schemeClr w14:val="tx1"/>
            </w14:solidFill>
          </w14:textFill>
        </w:rPr>
        <w:t>镍：底部支撑较强，关注宏观情绪变化</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再通胀预期仍存，加上美国4月新增非农就业人数大幅低于预期，增强美联储降息预期，美元指数下跌，目前有色板块利好情绪并未发生转向。镍矿端，近期海运费上涨，印尼镍矿流通资源仍偏紧。硫酸镍端，据悉印尼镍中间品将延期到港，预计节后镍中间品及硫酸镍在现货偏紧情况下价格持稳。需求端，下游三元前驱体厂家刚需采购为主，终端新能源汽车市场对三元材料需求增速放缓；由于利润可观，5月不锈钢厂排产维持高位。供应端，我国成为精炼镍净出口国，镍市过剩格局持续，海内外镍库存维持累库。综合而言，目前市场对有色板块情绪仍偏多，近期镍矿、中间品及硫酸镍现货资源偏紧也给予镍价较强底部支撑，但过剩格局下镍价上方空间也有限，高位震荡为主，关注宏观叙事变化及印尼镍矿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3837"/>
      <w:r>
        <w:rPr>
          <w:rFonts w:hint="eastAsia" w:ascii="楷体" w:hAnsi="楷体" w:eastAsia="楷体"/>
          <w:b/>
          <w:color w:val="000000" w:themeColor="text1"/>
          <w:sz w:val="24"/>
          <w:szCs w:val="24"/>
          <w14:textFill>
            <w14:solidFill>
              <w14:schemeClr w14:val="tx1"/>
            </w14:solidFill>
          </w14:textFill>
        </w:rPr>
        <w:t>不锈钢：多空交织，观望为主</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端，印尼镍矿RKAB审批未闻新进度消息，目前印尼镍矿流通资源仍偏紧，预计镍矿价格坚挺。镍铁端，受镍矿价格、宏观情绪及多次成交的影响，镍铁价格仍处于高位水平，据Mysteel调研，近期华南镍生铁采购价为970-975元/镍（到厂含税），成交量数万吨，不锈钢成本支撑犹存。据Mysteel数据，304冷轧外购高镍铁工艺冶炼成本为13720元/吨。供应方面， 4月不锈钢粗钢排产约为316万吨，由于利润空间可观，5月排产维持高位。需求方面，近期下游成交冷清，房地产及基建等终端领域表现仍偏弱，宏观利好政策对实际需求的提振仍有待观察。库存方面，由于下游节前刚需补库，上周社会库存小幅去库，仓单库存处于历史新高水平。综合而言，一方面，有色板块利好情绪并未发生转向，对不锈钢价带来提振，且印尼镍矿流通资源偏紧及镍铁价格维持高位，为不锈钢带来成本支撑；另一方面，节后下游成交以刚需采购为主，节后社会库存或累积，加上高位仓单库存也不容忽视，供应压力或为不锈钢价格带来回调风险，多空交织下建议观望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7981"/>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多空博弈下，短期或震荡运行</w:t>
      </w:r>
      <w:bookmarkEnd w:id="25"/>
    </w:p>
    <w:p>
      <w:pPr>
        <w:ind w:left="630" w:leftChars="300"/>
        <w:rPr>
          <w:rFonts w:ascii="楷体" w:hAnsi="楷体" w:eastAsia="楷体"/>
          <w:sz w:val="24"/>
          <w:szCs w:val="24"/>
        </w:rPr>
      </w:pPr>
      <w:r>
        <w:rPr>
          <w:rFonts w:hint="eastAsia" w:ascii="楷体" w:hAnsi="楷体" w:eastAsia="楷体"/>
          <w:sz w:val="24"/>
          <w:szCs w:val="24"/>
        </w:rPr>
        <w:t>5月6日，Si2406主力合约呈冲高回落走势，收盘价11995元/吨，较上一收盘价涨跌幅＋0.33%。近期，盘面呈现反弹走势，主要由于节前下游补库，叠加新疆大厂提价，使得市场情绪有所修复。从基本面来看，西南供应依旧处于相对低位，在成本支撑以及新疆大厂挺价情况下，预计下行空间或有限，但丰水期复产预期较强，以及仓单库存压力依旧较大，对于盘面大幅反弹存在压制作用。整体来看，多空博弈下，暂无明显单边驱动，预计盘面将阶段性进入震荡行情，参考区间（11500，12500）。策略上，建议可沿区间上下沿附近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14113"/>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15256"/>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泰国进入开割季 天胶短期或偏弱整理</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有所去化。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或震荡偏弱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13900"/>
      <w:r>
        <w:rPr>
          <w:rFonts w:hint="eastAsia" w:ascii="楷体" w:hAnsi="楷体" w:eastAsia="楷体"/>
          <w:b/>
          <w:color w:val="000000" w:themeColor="text1"/>
          <w:sz w:val="24"/>
          <w:szCs w:val="24"/>
          <w14:textFill>
            <w14:solidFill>
              <w14:schemeClr w14:val="tx1"/>
            </w14:solidFill>
          </w14:textFill>
        </w:rPr>
        <w:t>聚烯烃：供需双弱 聚烯烃或偏弱整理为主</w:t>
      </w:r>
      <w:bookmarkEnd w:id="29"/>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0" w:name="_Toc25625"/>
      <w:r>
        <w:rPr>
          <w:rFonts w:hint="eastAsia" w:ascii="楷体" w:hAnsi="楷体" w:eastAsia="楷体"/>
          <w:b/>
          <w:color w:val="000000" w:themeColor="text1"/>
          <w:sz w:val="24"/>
          <w:szCs w:val="24"/>
          <w14:textFill>
            <w14:solidFill>
              <w14:schemeClr w14:val="tx1"/>
            </w14:solidFill>
          </w14:textFill>
        </w:rPr>
        <w:t>玻璃：宏观政策驱动，强预期弱现实</w:t>
      </w:r>
      <w:bookmarkEnd w:id="3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5月6日报道:今日浮法玻璃现货价格1691元/吨，较上一交易日-15元/吨。供给上，日熔量17.45万吨/天。库存上，截止到20240506，全国浮法玻璃样本企业总库存6181.6万重箱，环比+188.4万重箱，环比+3.14%，同比+36.54%，周内累库。现货端，华北地区产销良好，稳价为主，湖北库存压力较大，降价销售。宏观方面国内4月30日政治局会议提到房地产化解存量优化增量，提振市场对地产化债问题解决的信心，一线城市房价短期来看有一定企稳迹象，整体宏观预期偏强，盘面上，终端实际需求不温不火，宏观强预期驱动期价上行升水现货，未见到连续累库之前，下半年地产需求由弱转强预期无法证伪，但弱现实压制上方空间，期价升水之后追多风险加大，操作上，短线做多情绪偏强，可等回调低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1" w:name="_Toc7783"/>
      <w:r>
        <w:rPr>
          <w:rFonts w:hint="eastAsia" w:ascii="楷体" w:hAnsi="楷体" w:eastAsia="楷体"/>
          <w:b/>
          <w:color w:val="000000" w:themeColor="text1"/>
          <w:sz w:val="24"/>
          <w:szCs w:val="24"/>
          <w14:textFill>
            <w14:solidFill>
              <w14:schemeClr w14:val="tx1"/>
            </w14:solidFill>
          </w14:textFill>
        </w:rPr>
        <w:t>纯碱：商品情绪转强，等待需求验证</w:t>
      </w:r>
      <w:bookmarkEnd w:id="3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节后碱厂以稳价为主，华中和华北的重碱成交在2150-2200元/吨附近，轻碱2050-2100元/吨。从供给端来看，隆众资讯5月2日报道:本周纯碱产量74.01万吨，环比增加0.97万吨，涨幅1.34%。从库存上看，截止到2024年5月6日，本周国内纯碱厂家总库存89.57万吨，环比4月29日涨3.53万吨，涨幅4.10%，累库。需求端表现平稳，轻碱订单较好，重碱走弱，贸易商出货情绪走强。盘面上，节前多空离场，期价回落至平水附近，节后虽然库存出现累库，但短期碱厂仍有挺价意愿，上下游围绕价格博弈，盘面上，近期政策较多，下游浮法和光伏玻璃需求预期转强，商品情绪转强，纯碱期价上行，但需要注意的是当前强预期与弱现实较为割裂，当前现货市场纯碱并不紧张，贸易商出货情绪较强，期价升水以后谨慎追多，可以等待期价回调后再低多。</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2" w:name="_Toc3082"/>
      <w:r>
        <w:rPr>
          <w:rFonts w:hint="eastAsia" w:ascii="Times New Roman" w:hAnsi="Times New Roman" w:eastAsia="楷体"/>
          <w:b/>
          <w:color w:val="823C0B"/>
          <w:sz w:val="30"/>
          <w:szCs w:val="30"/>
        </w:rPr>
        <w:t>[农产品]</w:t>
      </w:r>
      <w:bookmarkEnd w:id="14"/>
      <w:bookmarkEnd w:id="32"/>
    </w:p>
    <w:p>
      <w:pPr>
        <w:pStyle w:val="93"/>
        <w:spacing w:before="60" w:beforeAutospacing="0" w:after="60" w:afterAutospacing="0"/>
        <w:ind w:left="420" w:leftChars="200"/>
        <w:outlineLvl w:val="1"/>
        <w:rPr>
          <w:rFonts w:ascii="楷体" w:hAnsi="楷体" w:eastAsia="楷体"/>
          <w:b/>
        </w:rPr>
      </w:pPr>
      <w:bookmarkStart w:id="33" w:name="_Toc30315"/>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期价低位反弹</w:t>
      </w:r>
      <w:bookmarkEnd w:id="3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可以概括为为产销区定价权的争夺，突出体现在产销区（南方销区-东北产区）玉米价差和华北-东北玉米价差上，这反映东北产区高价玉米往华北和华南的传导不畅，这有源于当前市场供应相对充足。这一格局从全国范围上讲需要国内玉米年度产需缺口逐步体现，分区域来看需要看到供应压力逐步释放，南方销区需要看到饲用谷物特别是内外贸玉米库存的下滑，华北产区则需要看到玉米余粮和新麦上市压力的释放。我们基于年度产需缺口预期维持谨慎看多观点，接下来重点关注新作小麦产量前景、小麦收抛储政策与进口玉米抛储政策等。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各方面因素仍存在较大的不确定性，行业供需层面行业开机率或呈现区域分化，而需求端亦存在变数；副产品端取决于蛋白粕，这需要留意外盘美豆走势和国内豆粕供需；原料成本端华北-东北玉米价差的变动也有可能加大，因市场对华北玉米供需可能存在误判。考虑到盘面生产利润特别是远月合约已经转负，我们倾向于认为，淀粉-玉米价差下方收窄空间受限。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4" w:name="_Toc17057"/>
      <w:r>
        <w:rPr>
          <w:rFonts w:hint="eastAsia" w:ascii="楷体" w:hAnsi="楷体" w:eastAsia="楷体"/>
          <w:b/>
          <w:bCs/>
          <w:color w:val="000000" w:themeColor="text1"/>
          <w14:textFill>
            <w14:solidFill>
              <w14:schemeClr w14:val="tx1"/>
            </w14:solidFill>
          </w14:textFill>
        </w:rPr>
        <w:t>畜禽养殖：生猪期价止跌回升</w:t>
      </w:r>
      <w:bookmarkEnd w:id="3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综上所述，考虑到二季度供需改善幅度限制猪价上涨空间，而市场对后市的看涨预期依然强烈同样抑制现货回落空间，我们预计期价或延续区间震荡，期价需要等待现货新一轮上涨，在这种情况下，近月更多关注现货与基差，而远月更多关注仔猪价格走势。据此我们中期谨慎看多，短期维持中性观点，建议投资者观望为宜，等待再次入场机会。</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近期蛋鸡养殖转为亏损之后，养殖户淘汰积极性上升，蛋鸡淘汰日龄、淘汰鸡价格及周度淘汰量均可以印证，这有望改善远期鸡蛋供需，但需要指出的是，这种产能去化需要持续一段时间才能够改变鸡蛋的供需格局。从原料成本角度看，考虑到鸡蛋养殖利润因行业供需处于往年同期低位，饲料成本因素对鸡蛋养殖利润的影响或相对大于生猪，在这种情况下，需要特别留意饲料原料即豆粕和玉米上涨的持续性。在这种情况下，我们总体倾向于鸡蛋期价或延续低位震荡，等待行业产能去化，短期影响因素包括现货基差、饲料原料成本及其市场预期变动等。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5" w:name="_Toc3169"/>
      <w:r>
        <w:rPr>
          <w:rFonts w:hint="eastAsia" w:ascii="楷体" w:hAnsi="楷体" w:eastAsia="楷体"/>
          <w:b/>
          <w:bCs/>
          <w:color w:val="000000" w:themeColor="text1"/>
          <w14:textFill>
            <w14:solidFill>
              <w14:schemeClr w14:val="tx1"/>
            </w14:solidFill>
          </w14:textFill>
        </w:rPr>
        <w:t>白糖：糖价持续回暖，但依旧无明显看多信号</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原糖主连上涨1.04%，伦敦ICE休市未进行交易。泰国干燥天气依旧为糖价提供支撑。花旗认为需考虑巴西糖料品质降低从而导致出糖率降低的情况，维持24/25年度食糖供应短缺的预测。而此前不少机构认为24/25年度食糖增产，市场预测分歧说明新榨季暂无明确信号，糖价或维持震荡态势。国内昨日夜盘白糖主力合约上涨0.20%。主要产糖地区4月库存相较于3月大幅减少，第三方仓库出入库比较顺畅，糖价较此前有所提升。但食糖消费仍处淡季，季节性供给压力仍然存在。总体来说，全球缺乏市场驱动因素，糖供应暂难预测，而目前需求较为平淡，期价或维持震荡运行，建议暂时保持观望态度。</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6" w:name="_Toc29349"/>
      <w:r>
        <w:rPr>
          <w:rFonts w:hint="eastAsia" w:ascii="楷体" w:hAnsi="楷体" w:eastAsia="楷体"/>
          <w:b/>
          <w:bCs/>
          <w:color w:val="000000" w:themeColor="text1"/>
          <w14:textFill>
            <w14:solidFill>
              <w14:schemeClr w14:val="tx1"/>
            </w14:solidFill>
          </w14:textFill>
        </w:rPr>
        <w:t>棉花：内外盘双跌，暂无企稳信号</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棉主力合约下跌1.31%，继上周五大幅反弹后回落。截止5月3日，ICE可交割2号棉合约库存为186110包，与上一交易日持平。根据USDA报告，截止2024年5月5日当周，美棉种植率为24%，过去五年均值为20%。种植率增加或意味着未来供给增加，释放利空信号。外围环境仍未改善，宏观情绪悲观，价格受低迷的经济环境压制，长期来看棉价或仍偏弱运行。国内期货市场方面，昨日夜盘棉花主力合约下跌0.13%，棉纱主力合约价格保持不变。五一期间多数纺企仍旧维持生产，但销售放缓，纺企成品库存增加，或进一步压制纺企采购棉花需求。目前国内维持需求疲弱局面且无新的驱动因素，棉价跟随外盘变动，外盘走势偏弱对郑棉形成向下压力，仍然维持看空观点。</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7" w:name="_Toc18750"/>
      <w:r>
        <w:rPr>
          <w:rFonts w:hint="eastAsia" w:ascii="Times New Roman" w:hAnsi="Times New Roman" w:eastAsia="楷体"/>
          <w:b/>
          <w:color w:val="823C0B"/>
          <w:sz w:val="30"/>
          <w:szCs w:val="30"/>
        </w:rPr>
        <w:t>[指数]</w:t>
      </w:r>
      <w:bookmarkEnd w:id="37"/>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38" w:name="_Toc28026"/>
      <w:r>
        <w:rPr>
          <w:rFonts w:hint="eastAsia" w:ascii="Times New Roman" w:hAnsi="Times New Roman" w:eastAsia="楷体"/>
          <w:b/>
          <w:color w:val="000000" w:themeColor="text1"/>
          <w:sz w:val="24"/>
          <w:szCs w:val="24"/>
          <w14:textFill>
            <w14:solidFill>
              <w14:schemeClr w14:val="tx1"/>
            </w14:solidFill>
          </w14:textFill>
        </w:rPr>
        <w:t>集运指数（欧线）：短期利多因素促成近强远弱格局，节后需观察延续性</w:t>
      </w:r>
      <w:bookmarkEnd w:id="38"/>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现货方面，5月6日，上海出口集装箱结算运价指数（SCFIS）欧洲线收于2208.83点，环比上涨1.5%，SCFIS走势稳定。</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供给方面，集运公司依惯例在中国五一长假减少班次，有利于支撑运价。另外，三家航运巨头马士基、达飞、MSC均大幅上调5月份的报价，市场对5月运价中枢的预期显著上调，为远期盘面形成支撑。马士基将部分港口18周大柜自原先的$3800/FEU推涨至$4500/FEU。</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需求方面，今年5月淡季不淡，欧美开始补库存，由于提早应对暑期旺季拉货，叠加中国厂商强化美非地区布局，都带动货量明显增加。</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盘面来看，由于中东局势有所蔓延，叠加以上利多因素，合约集体创出新高。但五一节前临近，投资者为降低风险，多头获利离场，尤其是远月合约均大幅回调。五一假期后出货量或延续前期水平，船司抬价等因素也会支撑期货价格，但利多因素均偏短期，投资者应慎防短期波动风险。未来关注点为5月份提价效果以及中东局势走向，近期交易风险较大，建议投资者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71212556"/>
      <w:bookmarkStart w:id="40" w:name="_Toc19667"/>
      <w:bookmarkStart w:id="41" w:name="_Toc12779"/>
      <w:bookmarkStart w:id="42" w:name="_Toc72481108"/>
      <w:bookmarkStart w:id="43" w:name="_Toc98426751"/>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2024年5月7日星期二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3D146B7"/>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89B63EF"/>
    <w:rsid w:val="49BF13F0"/>
    <w:rsid w:val="49D75468"/>
    <w:rsid w:val="49E169F0"/>
    <w:rsid w:val="4A4A74EF"/>
    <w:rsid w:val="4A6F6249"/>
    <w:rsid w:val="4AB74C38"/>
    <w:rsid w:val="4B14426D"/>
    <w:rsid w:val="4B6224E5"/>
    <w:rsid w:val="4B8C4A56"/>
    <w:rsid w:val="4BF97936"/>
    <w:rsid w:val="4C457E30"/>
    <w:rsid w:val="4D2A3925"/>
    <w:rsid w:val="4D597189"/>
    <w:rsid w:val="4DB20386"/>
    <w:rsid w:val="4DF02D90"/>
    <w:rsid w:val="4E665CB5"/>
    <w:rsid w:val="4FBA2B77"/>
    <w:rsid w:val="5005695E"/>
    <w:rsid w:val="50286811"/>
    <w:rsid w:val="51266B84"/>
    <w:rsid w:val="5191036A"/>
    <w:rsid w:val="546B5509"/>
    <w:rsid w:val="548642E9"/>
    <w:rsid w:val="54C12E33"/>
    <w:rsid w:val="55633225"/>
    <w:rsid w:val="563B25E1"/>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5EFA4E95"/>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2024-05-07T02:31:26Z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