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_Toc28136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_Toc20545 </w:instrText>
          </w:r>
          <w:r>
            <w:rPr>
              <w:bCs/>
            </w:rPr>
            <w:fldChar w:fldCharType="separate"/>
          </w:r>
          <w:r>
            <w:rPr>
              <w:rFonts w:hint="eastAsia" w:ascii="Times New Roman" w:hAnsi="Times New Roman" w:eastAsia="楷体"/>
              <w:szCs w:val="24"/>
            </w:rPr>
            <w:t>股指：美联储降息预期进一步修正，维持相对防御思维</w:t>
          </w:r>
          <w:r>
            <w:rPr>
              <w:bCs/>
            </w:rPr>
            <w:fldChar w:fldCharType="end"/>
          </w:r>
        </w:p>
        <w:p>
          <w:pPr>
            <w:pStyle w:val="59"/>
            <w:tabs>
              <w:tab w:val="right" w:leader="dot" w:pos="8306"/>
            </w:tabs>
          </w:pPr>
          <w:r>
            <w:rPr>
              <w:bCs/>
            </w:rPr>
            <w:fldChar w:fldCharType="begin"/>
          </w:r>
          <w:r>
            <w:rPr>
              <w:bCs/>
            </w:rPr>
            <w:instrText xml:space="preserve"> HYPERLINK \l _Toc31112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_Toc21036 </w:instrText>
          </w:r>
          <w:r>
            <w:rPr>
              <w:bCs/>
            </w:rPr>
            <w:fldChar w:fldCharType="separate"/>
          </w:r>
          <w:r>
            <w:rPr>
              <w:rFonts w:hint="eastAsia" w:ascii="Times New Roman" w:hAnsi="Times New Roman" w:eastAsia="楷体"/>
              <w:szCs w:val="24"/>
            </w:rPr>
            <w:t>贵金属：欧元区消费者信心指数略微回升，贵金属价格小幅下跌</w:t>
          </w:r>
          <w:r>
            <w:rPr>
              <w:bCs/>
            </w:rPr>
            <w:fldChar w:fldCharType="end"/>
          </w:r>
        </w:p>
        <w:p>
          <w:pPr>
            <w:pStyle w:val="59"/>
            <w:tabs>
              <w:tab w:val="right" w:leader="dot" w:pos="8306"/>
            </w:tabs>
          </w:pPr>
          <w:r>
            <w:rPr>
              <w:bCs/>
            </w:rPr>
            <w:fldChar w:fldCharType="begin"/>
          </w:r>
          <w:r>
            <w:rPr>
              <w:bCs/>
            </w:rPr>
            <w:instrText xml:space="preserve"> HYPERLINK \l _Toc14982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_Toc7058 </w:instrText>
          </w:r>
          <w:r>
            <w:rPr>
              <w:bCs/>
            </w:rPr>
            <w:fldChar w:fldCharType="separate"/>
          </w:r>
          <w:r>
            <w:rPr>
              <w:rFonts w:hint="eastAsia" w:ascii="楷体" w:hAnsi="楷体" w:eastAsia="楷体"/>
              <w:szCs w:val="24"/>
            </w:rPr>
            <w:t>碳酸锂：以旧换新政策落地，乐观情绪带动期价大幅上涨</w:t>
          </w:r>
          <w:r>
            <w:rPr>
              <w:bCs/>
            </w:rPr>
            <w:fldChar w:fldCharType="end"/>
          </w:r>
        </w:p>
        <w:p>
          <w:pPr>
            <w:pStyle w:val="74"/>
            <w:tabs>
              <w:tab w:val="right" w:leader="dot" w:pos="8306"/>
            </w:tabs>
          </w:pPr>
          <w:r>
            <w:rPr>
              <w:bCs/>
            </w:rPr>
            <w:fldChar w:fldCharType="begin"/>
          </w:r>
          <w:r>
            <w:rPr>
              <w:bCs/>
            </w:rPr>
            <w:instrText xml:space="preserve"> HYPERLINK \l _Toc5969 </w:instrText>
          </w:r>
          <w:r>
            <w:rPr>
              <w:bCs/>
            </w:rPr>
            <w:fldChar w:fldCharType="separate"/>
          </w:r>
          <w:r>
            <w:rPr>
              <w:rFonts w:hint="eastAsia" w:ascii="楷体" w:hAnsi="楷体" w:eastAsia="楷体"/>
              <w:szCs w:val="24"/>
            </w:rPr>
            <w:t>铝：趋势维持看多，节前建议观望</w:t>
          </w:r>
          <w:r>
            <w:rPr>
              <w:bCs/>
            </w:rPr>
            <w:fldChar w:fldCharType="end"/>
          </w:r>
        </w:p>
        <w:p>
          <w:pPr>
            <w:pStyle w:val="74"/>
            <w:tabs>
              <w:tab w:val="right" w:leader="dot" w:pos="8306"/>
            </w:tabs>
          </w:pPr>
          <w:r>
            <w:rPr>
              <w:bCs/>
            </w:rPr>
            <w:fldChar w:fldCharType="begin"/>
          </w:r>
          <w:r>
            <w:rPr>
              <w:bCs/>
            </w:rPr>
            <w:instrText xml:space="preserve"> HYPERLINK \l _Toc16347 </w:instrText>
          </w:r>
          <w:r>
            <w:rPr>
              <w:bCs/>
            </w:rPr>
            <w:fldChar w:fldCharType="separate"/>
          </w:r>
          <w:r>
            <w:rPr>
              <w:rFonts w:hint="eastAsia" w:ascii="楷体" w:hAnsi="楷体" w:eastAsia="楷体"/>
              <w:szCs w:val="24"/>
            </w:rPr>
            <w:t>锌：锌价冲高动力有限，节前建议谨慎参与</w:t>
          </w:r>
          <w:r>
            <w:rPr>
              <w:bCs/>
            </w:rPr>
            <w:fldChar w:fldCharType="end"/>
          </w:r>
        </w:p>
        <w:p>
          <w:pPr>
            <w:pStyle w:val="74"/>
            <w:tabs>
              <w:tab w:val="right" w:leader="dot" w:pos="8306"/>
            </w:tabs>
          </w:pPr>
          <w:r>
            <w:rPr>
              <w:bCs/>
            </w:rPr>
            <w:fldChar w:fldCharType="begin"/>
          </w:r>
          <w:r>
            <w:rPr>
              <w:bCs/>
            </w:rPr>
            <w:instrText xml:space="preserve"> HYPERLINK \l _Toc18842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：资金继续推高价格，节前观望为主</w:t>
          </w:r>
          <w:r>
            <w:rPr>
              <w:bCs/>
            </w:rPr>
            <w:fldChar w:fldCharType="end"/>
          </w:r>
        </w:p>
        <w:p>
          <w:pPr>
            <w:pStyle w:val="74"/>
            <w:tabs>
              <w:tab w:val="right" w:leader="dot" w:pos="8306"/>
            </w:tabs>
          </w:pPr>
          <w:r>
            <w:rPr>
              <w:bCs/>
            </w:rPr>
            <w:fldChar w:fldCharType="begin"/>
          </w:r>
          <w:r>
            <w:rPr>
              <w:bCs/>
            </w:rPr>
            <w:instrText xml:space="preserve"> HYPERLINK \l _Toc24115 </w:instrText>
          </w:r>
          <w:r>
            <w:rPr>
              <w:bCs/>
            </w:rPr>
            <w:fldChar w:fldCharType="separate"/>
          </w:r>
          <w:r>
            <w:rPr>
              <w:rFonts w:hint="eastAsia" w:ascii="楷体" w:hAnsi="楷体" w:eastAsia="楷体"/>
              <w:szCs w:val="24"/>
            </w:rPr>
            <w:t>镍：警惕节前价格回调风险</w:t>
          </w:r>
          <w:r>
            <w:rPr>
              <w:bCs/>
            </w:rPr>
            <w:fldChar w:fldCharType="end"/>
          </w:r>
        </w:p>
        <w:p>
          <w:pPr>
            <w:pStyle w:val="74"/>
            <w:tabs>
              <w:tab w:val="right" w:leader="dot" w:pos="8306"/>
            </w:tabs>
          </w:pPr>
          <w:r>
            <w:rPr>
              <w:bCs/>
            </w:rPr>
            <w:fldChar w:fldCharType="begin"/>
          </w:r>
          <w:r>
            <w:rPr>
              <w:bCs/>
            </w:rPr>
            <w:instrText xml:space="preserve"> HYPERLINK \l _Toc5914 </w:instrText>
          </w:r>
          <w:r>
            <w:rPr>
              <w:bCs/>
            </w:rPr>
            <w:fldChar w:fldCharType="separate"/>
          </w:r>
          <w:r>
            <w:rPr>
              <w:rFonts w:hint="eastAsia" w:ascii="楷体" w:hAnsi="楷体" w:eastAsia="楷体"/>
              <w:szCs w:val="24"/>
            </w:rPr>
            <w:t>不锈钢：宏观情绪与库存压力交织，价格承压运行</w:t>
          </w:r>
          <w:r>
            <w:rPr>
              <w:bCs/>
            </w:rPr>
            <w:fldChar w:fldCharType="end"/>
          </w:r>
        </w:p>
        <w:p>
          <w:pPr>
            <w:pStyle w:val="74"/>
            <w:tabs>
              <w:tab w:val="right" w:leader="dot" w:pos="8306"/>
            </w:tabs>
          </w:pPr>
          <w:r>
            <w:rPr>
              <w:bCs/>
            </w:rPr>
            <w:fldChar w:fldCharType="begin"/>
          </w:r>
          <w:r>
            <w:rPr>
              <w:bCs/>
            </w:rPr>
            <w:instrText xml:space="preserve"> HYPERLINK \l _Toc9156 </w:instrText>
          </w:r>
          <w:r>
            <w:rPr>
              <w:bCs/>
            </w:rPr>
            <w:fldChar w:fldCharType="separate"/>
          </w:r>
          <w:r>
            <w:rPr>
              <w:rFonts w:hint="eastAsia" w:ascii="楷体" w:hAnsi="楷体" w:eastAsia="楷体"/>
              <w:szCs w:val="24"/>
            </w:rPr>
            <w:t>工业硅：节前下游补库，市场情绪有所回暖</w:t>
          </w:r>
          <w:r>
            <w:rPr>
              <w:bCs/>
            </w:rPr>
            <w:fldChar w:fldCharType="end"/>
          </w:r>
        </w:p>
        <w:p>
          <w:pPr>
            <w:pStyle w:val="59"/>
            <w:tabs>
              <w:tab w:val="right" w:leader="dot" w:pos="8306"/>
            </w:tabs>
          </w:pPr>
          <w:r>
            <w:rPr>
              <w:bCs/>
            </w:rPr>
            <w:fldChar w:fldCharType="begin"/>
          </w:r>
          <w:r>
            <w:rPr>
              <w:bCs/>
            </w:rPr>
            <w:instrText xml:space="preserve"> HYPERLINK \l _Toc17750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_Toc221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泰国进入开割季 天胶短期或偏弱整理</w:t>
          </w:r>
          <w:r>
            <w:rPr>
              <w:bCs/>
            </w:rPr>
            <w:fldChar w:fldCharType="end"/>
          </w:r>
        </w:p>
        <w:p>
          <w:pPr>
            <w:pStyle w:val="74"/>
            <w:tabs>
              <w:tab w:val="right" w:leader="dot" w:pos="8306"/>
            </w:tabs>
          </w:pPr>
          <w:r>
            <w:rPr>
              <w:bCs/>
            </w:rPr>
            <w:fldChar w:fldCharType="begin"/>
          </w:r>
          <w:r>
            <w:rPr>
              <w:bCs/>
            </w:rPr>
            <w:instrText xml:space="preserve"> HYPERLINK \l _Toc18625 </w:instrText>
          </w:r>
          <w:r>
            <w:rPr>
              <w:bCs/>
            </w:rPr>
            <w:fldChar w:fldCharType="separate"/>
          </w:r>
          <w:r>
            <w:rPr>
              <w:rFonts w:hint="eastAsia" w:ascii="楷体" w:hAnsi="楷体" w:eastAsia="楷体"/>
              <w:szCs w:val="24"/>
            </w:rPr>
            <w:t>聚烯烃：供需双弱 聚烯烃或震荡整理为主</w:t>
          </w:r>
          <w:r>
            <w:rPr>
              <w:bCs/>
            </w:rPr>
            <w:fldChar w:fldCharType="end"/>
          </w:r>
        </w:p>
        <w:p>
          <w:pPr>
            <w:pStyle w:val="74"/>
            <w:tabs>
              <w:tab w:val="right" w:leader="dot" w:pos="8306"/>
            </w:tabs>
          </w:pPr>
          <w:r>
            <w:rPr>
              <w:bCs/>
            </w:rPr>
            <w:fldChar w:fldCharType="begin"/>
          </w:r>
          <w:r>
            <w:rPr>
              <w:bCs/>
            </w:rPr>
            <w:instrText xml:space="preserve"> HYPERLINK \l _Toc12316 </w:instrText>
          </w:r>
          <w:r>
            <w:rPr>
              <w:bCs/>
            </w:rPr>
            <w:fldChar w:fldCharType="separate"/>
          </w:r>
          <w:r>
            <w:rPr>
              <w:rFonts w:hint="eastAsia" w:ascii="楷体" w:hAnsi="楷体" w:eastAsia="楷体"/>
              <w:szCs w:val="24"/>
            </w:rPr>
            <w:t>玻璃：供需矛盾不突出，临近假期注意控制仓位</w:t>
          </w:r>
          <w:r>
            <w:rPr>
              <w:bCs/>
            </w:rPr>
            <w:fldChar w:fldCharType="end"/>
          </w:r>
        </w:p>
        <w:p>
          <w:pPr>
            <w:pStyle w:val="74"/>
            <w:tabs>
              <w:tab w:val="right" w:leader="dot" w:pos="8306"/>
            </w:tabs>
          </w:pPr>
          <w:r>
            <w:rPr>
              <w:bCs/>
            </w:rPr>
            <w:fldChar w:fldCharType="begin"/>
          </w:r>
          <w:r>
            <w:rPr>
              <w:bCs/>
            </w:rPr>
            <w:instrText xml:space="preserve"> HYPERLINK \l _Toc29097 </w:instrText>
          </w:r>
          <w:r>
            <w:rPr>
              <w:bCs/>
            </w:rPr>
            <w:fldChar w:fldCharType="separate"/>
          </w:r>
          <w:r>
            <w:rPr>
              <w:rFonts w:hint="eastAsia" w:ascii="楷体" w:hAnsi="楷体" w:eastAsia="楷体"/>
              <w:szCs w:val="24"/>
            </w:rPr>
            <w:t>纯碱：节前情绪偏强，尾部风险加大</w:t>
          </w:r>
          <w:r>
            <w:rPr>
              <w:bCs/>
            </w:rPr>
            <w:fldChar w:fldCharType="end"/>
          </w:r>
        </w:p>
        <w:p>
          <w:pPr>
            <w:pStyle w:val="59"/>
            <w:tabs>
              <w:tab w:val="right" w:leader="dot" w:pos="8306"/>
            </w:tabs>
          </w:pPr>
          <w:r>
            <w:rPr>
              <w:bCs/>
            </w:rPr>
            <w:fldChar w:fldCharType="begin"/>
          </w:r>
          <w:r>
            <w:rPr>
              <w:bCs/>
            </w:rPr>
            <w:instrText xml:space="preserve"> HYPERLINK \l _Toc26643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_Toc11732 </w:instrText>
          </w:r>
          <w:r>
            <w:rPr>
              <w:bCs/>
            </w:rPr>
            <w:fldChar w:fldCharType="separate"/>
          </w:r>
          <w:r>
            <w:rPr>
              <w:rFonts w:hint="eastAsia" w:ascii="楷体" w:hAnsi="楷体" w:eastAsia="楷体"/>
              <w:bCs/>
            </w:rPr>
            <w:t>玉米与淀粉：</w:t>
          </w:r>
          <w:r>
            <w:rPr>
              <w:rFonts w:hint="eastAsia" w:ascii="楷体" w:hAnsi="楷体" w:eastAsia="楷体"/>
            </w:rPr>
            <w:t>淀粉-玉米价差显著收窄</w:t>
          </w:r>
          <w:r>
            <w:rPr>
              <w:bCs/>
            </w:rPr>
            <w:fldChar w:fldCharType="end"/>
          </w:r>
        </w:p>
        <w:p>
          <w:pPr>
            <w:pStyle w:val="74"/>
            <w:tabs>
              <w:tab w:val="right" w:leader="dot" w:pos="8306"/>
            </w:tabs>
          </w:pPr>
          <w:r>
            <w:rPr>
              <w:bCs/>
            </w:rPr>
            <w:fldChar w:fldCharType="begin"/>
          </w:r>
          <w:r>
            <w:rPr>
              <w:bCs/>
            </w:rPr>
            <w:instrText xml:space="preserve"> HYPERLINK \l _Toc4872 </w:instrText>
          </w:r>
          <w:r>
            <w:rPr>
              <w:bCs/>
            </w:rPr>
            <w:fldChar w:fldCharType="separate"/>
          </w:r>
          <w:r>
            <w:rPr>
              <w:rFonts w:hint="eastAsia" w:ascii="楷体" w:hAnsi="楷体" w:eastAsia="楷体"/>
              <w:bCs/>
            </w:rPr>
            <w:t>畜禽养殖：期价多有回落</w:t>
          </w:r>
          <w:r>
            <w:rPr>
              <w:bCs/>
            </w:rPr>
            <w:fldChar w:fldCharType="end"/>
          </w:r>
        </w:p>
        <w:p>
          <w:pPr>
            <w:pStyle w:val="74"/>
            <w:tabs>
              <w:tab w:val="right" w:leader="dot" w:pos="8306"/>
            </w:tabs>
          </w:pPr>
          <w:r>
            <w:rPr>
              <w:bCs/>
            </w:rPr>
            <w:fldChar w:fldCharType="begin"/>
          </w:r>
          <w:r>
            <w:rPr>
              <w:bCs/>
            </w:rPr>
            <w:instrText xml:space="preserve"> HYPERLINK \l _Toc27574 </w:instrText>
          </w:r>
          <w:r>
            <w:rPr>
              <w:bCs/>
            </w:rPr>
            <w:fldChar w:fldCharType="separate"/>
          </w:r>
          <w:r>
            <w:rPr>
              <w:rFonts w:hint="eastAsia" w:ascii="楷体" w:hAnsi="楷体" w:eastAsia="楷体"/>
              <w:bCs/>
            </w:rPr>
            <w:t>白糖：外盘大涨，内盘小幅反弹</w:t>
          </w:r>
          <w:r>
            <w:rPr>
              <w:bCs/>
            </w:rPr>
            <w:fldChar w:fldCharType="end"/>
          </w:r>
        </w:p>
        <w:p>
          <w:pPr>
            <w:pStyle w:val="74"/>
            <w:tabs>
              <w:tab w:val="right" w:leader="dot" w:pos="8306"/>
            </w:tabs>
          </w:pPr>
          <w:r>
            <w:rPr>
              <w:bCs/>
            </w:rPr>
            <w:fldChar w:fldCharType="begin"/>
          </w:r>
          <w:r>
            <w:rPr>
              <w:bCs/>
            </w:rPr>
            <w:instrText xml:space="preserve"> HYPERLINK \l _Toc1469 </w:instrText>
          </w:r>
          <w:r>
            <w:rPr>
              <w:bCs/>
            </w:rPr>
            <w:fldChar w:fldCharType="separate"/>
          </w:r>
          <w:r>
            <w:rPr>
              <w:rFonts w:hint="eastAsia" w:ascii="楷体" w:hAnsi="楷体" w:eastAsia="楷体"/>
              <w:bCs/>
            </w:rPr>
            <w:t>棉花：美棉上涨，郑棉价格稳定</w:t>
          </w:r>
          <w:r>
            <w:rPr>
              <w:bCs/>
            </w:rPr>
            <w:fldChar w:fldCharType="end"/>
          </w:r>
        </w:p>
        <w:p>
          <w:pPr>
            <w:pStyle w:val="59"/>
            <w:tabs>
              <w:tab w:val="right" w:leader="dot" w:pos="8306"/>
            </w:tabs>
          </w:pPr>
          <w:r>
            <w:rPr>
              <w:bCs/>
            </w:rPr>
            <w:fldChar w:fldCharType="begin"/>
          </w:r>
          <w:r>
            <w:rPr>
              <w:bCs/>
            </w:rPr>
            <w:instrText xml:space="preserve"> HYPERLINK \l _Toc21670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_Toc13664 </w:instrText>
          </w:r>
          <w:r>
            <w:rPr>
              <w:bCs/>
            </w:rPr>
            <w:fldChar w:fldCharType="separate"/>
          </w:r>
          <w:r>
            <w:rPr>
              <w:rFonts w:hint="eastAsia" w:ascii="Times New Roman" w:hAnsi="Times New Roman" w:eastAsia="楷体"/>
              <w:szCs w:val="24"/>
            </w:rPr>
            <w:t>集运指数（欧线）：节前多头获利平仓，EC集体回落</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813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054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美联储降息预期进一步修正，维持相对防御思维</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25日晚，美国公布一季度GDP数据，明显低于市场预期，一季度PCE则大幅超出预期，引发市场对美国当前经济环境或进入滞胀组合的担忧。目前触发美联储降息的金融条件尚且不足，互换市场不再完全定价美联储将于12月之前降息，但如若美股持续下跌反而有助于降息交易再开启，静态看时间对应三季度。随着美联储降息预期修正，短线或对A股市场造成一定扰动。此外，临近五一假期，市场持续缩量，上攻动能或出现整体性衰竭，建议维持相对防御思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111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036"/>
      <w:r>
        <w:rPr>
          <w:rFonts w:hint="eastAsia" w:ascii="Times New Roman" w:hAnsi="Times New Roman" w:eastAsia="楷体"/>
          <w:b/>
          <w:color w:val="000000" w:themeColor="text1"/>
          <w:sz w:val="24"/>
          <w:szCs w:val="24"/>
          <w14:textFill>
            <w14:solidFill>
              <w14:schemeClr w14:val="tx1"/>
            </w14:solidFill>
          </w14:textFill>
        </w:rPr>
        <w:t>贵金属：欧元区消费者信心指数略微回升，贵金属价格小幅下跌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0.21%至552.10元/克，沪银跌0.31%至7082元/千克。欧元区4月消费者信心指数终值-14.7，持平预期及初值，3月终值-14.9。欧洲央行管委穆勒表示，欧洲央行可能在6月降低利率。欧洲央行管委温施认为，欧洲央行应谨慎考虑7月份降息。美国3月PCE通胀指数同比增2.7%，核心PCE同比增2.8%，略高于预期；PCE环比增0.3%，核心PCE环比增0.3%，持平预期及前值。关注周内美联储5月议息决议以及PMI、非农等经济数据公布，市场预期5月美联储大概率维持利率水平不变。美国一季度GDP增速弱于预期，PCE通胀见底，海外降息预期略微降温，地缘政治冲突等不确定性较强，贵金属价格短线或震荡整理，关注下方均线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498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7058"/>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碳酸锂：以旧换新政策落地，乐观情绪带动期价大幅上涨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汽车以旧换新政策落地，高层定调支持大力发展智能网联、以旧换新，受乐观情绪推动，碳酸锂期价大幅上涨，07合约收涨5.65%至115900元/吨。近日，商务部、财政部等7部门联合印发了《汽车以旧换新补贴实施细则》，至今年年末以内报废国三及以下排放标准燃油乘用车或2018年4月30日前注册登记的新能源乘用车，并购买符合节能要求乘用车新车的个人消费者，可享受一次性定额补贴。其中，对报废上述两类旧乘用车并购买符合条件的新能源乘用车的，补贴1万元；对报废国三及以下排放标准燃油乘用车并购买2.0升及以下排量燃油乘用车的，补贴7000元。周末总理调研北京车展时强调，大力发展智能网联新能源汽车，推动汽车产业高质量发展，以科技创新引领产业创新；当前我国正在开展新一轮大规模设备更新、消费品以旧换新，要落实好支持购买使用政策，加快构建充电基础设备网络体系，多措并举优化消费环境。受乐观情绪推动，今日锂板块股期联动上涨。锂盐供应偏强、需求小幅增长，近期下游企业阶段性补库接近完成，乐观情绪支撑期价上行，后续关注相关政策落地影响。</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5969"/>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趋势维持看多，节前建议观望</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俄铝制裁带动LME铝快速攀升，海外价格走势偏强，国内铝价易涨难跌。目前来看国内供应稳定，需求持续修复，出口消费提振，库存去库支撑消费走强预期，整体上看，铝价震荡中枢上移，短期内因宏观因子变化影响或震荡在19500-21000之间，趋势上仍保持看多观点，节前下游备货库存去库，观望节后需求数据及库存表现，建议假期前谨慎参与。</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6347"/>
      <w:r>
        <w:rPr>
          <w:rFonts w:hint="eastAsia" w:ascii="楷体" w:hAnsi="楷体" w:eastAsia="楷体"/>
          <w:b/>
          <w:color w:val="000000" w:themeColor="text1"/>
          <w:sz w:val="24"/>
          <w:szCs w:val="24"/>
          <w14:textFill>
            <w14:solidFill>
              <w14:schemeClr w14:val="tx1"/>
            </w14:solidFill>
          </w14:textFill>
        </w:rPr>
        <w:t>锌：锌价冲高动力有限，节前建议谨慎参与</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定价情绪走弱，回归基本面引导，矿端-冶炼端利润倒挂，导致中游在锌矿成本提增、冶炼长期亏损情况下或计划检修停产，目前冶炼端维持高产，需求端提振乏力，锌价上冲动力有限，隔夜锌价冲高上23000，观望价格是否能站稳前高，持仓过节风险较大，建议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884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：资金继续推高价格，节前观望为主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(1)产业：香港万得通讯社报道，4月29日，国际铜研究小组（ICSG）报告预计，2024年全球精炼铜市场将出现16.2万吨的供应过剩，2025年将出现9.4万吨供应过剩。</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(2)库存：4月29日，SHFE仓单库存212223吨，减2994吨；LME仓单库存117500吨，减1050吨。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(3)精废价差：4月29日，Mysteel精废价差4098，扩张72。目前价差在合理价差1504之上。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再通胀交易仍在持续，关注即将到来的联储议息会议，如果出现超预期鹰派表态将给铜价带来压力。基本面，铜矿持续受到干扰，供应收缩预期仍是支撑价格的主要因素，国内冶炼厂陆续进入检修期供应减少，加之近期冶炼厂出口增多带动国内库存开始去化，但高价仍压制下游消费，现货贴水维持高位，资金情绪延续高涨，不排除价格继续上冲，节前观望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4115"/>
      <w:r>
        <w:rPr>
          <w:rFonts w:hint="eastAsia" w:ascii="楷体" w:hAnsi="楷体" w:eastAsia="楷体"/>
          <w:b/>
          <w:color w:val="000000" w:themeColor="text1"/>
          <w:sz w:val="24"/>
          <w:szCs w:val="24"/>
          <w14:textFill>
            <w14:solidFill>
              <w14:schemeClr w14:val="tx1"/>
            </w14:solidFill>
          </w14:textFill>
        </w:rPr>
        <w:t>镍：警惕节前价格回调风险</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有色板块利好情绪仍存。镍铁端，由于矿端价格坚挺及宏观情绪影响，近期高镍铁成交价格处于高位水平。硫酸镍端，近期镍价上行带动原料中间品有所上涨，且下游节前刚需备货，支撑短期硫酸镍价格，但中间品及硫酸镍供应持续释放，硫酸镍价格缺乏上行动力。需求端，步入二季度后，新能源汽车的需求增速放缓，加上其电池需求更为体现在性价比更高的磷酸铁锂电池，预计对镍需求偏弱；目前不锈钢厂利润尚可，排产维持高位水平，待下游五一前后补库动作结束后，供需矛盾或凸显。供应端，我国成为精炼镍净出口国，精炼镍产能持续释放社会库存累积，沪镍库存处于三年来历史新高水平附近。综合而言，目前有色板块利多情绪仍存，但库存高位累积，镍基本面偏弱，需警惕价格回调风险，不过考虑到近期原料价格多有坚挺，短期镍价下跌空间有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5914"/>
      <w:r>
        <w:rPr>
          <w:rFonts w:hint="eastAsia" w:ascii="楷体" w:hAnsi="楷体" w:eastAsia="楷体"/>
          <w:b/>
          <w:color w:val="000000" w:themeColor="text1"/>
          <w:sz w:val="24"/>
          <w:szCs w:val="24"/>
          <w14:textFill>
            <w14:solidFill>
              <w14:schemeClr w14:val="tx1"/>
            </w14:solidFill>
          </w14:textFill>
        </w:rPr>
        <w:t>不锈钢：宏观情绪与库存压力交织，价格承压运行</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资金做多有色板块情绪仍存，关注今天公布的多国制造业PMI数据。镍矿端，近期印尼处于斋月期，对镍矿RKAB审批速度放缓，目前印尼镍矿流通资源仍偏紧，因此价格稳中偏强。镍铁端，由于矿端价格坚挺、不锈钢厂持有采购需求及宏观情绪影响，近期高镍铁成交价格多处于980-990元/镍的高位水平，对不锈钢成本支撑作用较强。需求方面，近期不锈钢期价偏高对下游成交带来一定抑制，节前补库需求有所回落，房地产及基建等终端领域表现仍然低迷。供应方面，目前产业利润尚可，不锈钢厂维持高位排产，部分工厂进行增产。库存方面，上周社会库存小幅去库3.95%；仓单库存处于历史新高水平。综合而言，印尼镍矿流通资源偏紧，镍铁价格重心抬升，社会库存边际去化，为不锈钢价格带来下方支撑，但是，不锈钢供应处于高位水平、仓单库存刷新历史高点为基本面利空因素，若五一补库需求未能明显释放，不锈钢价格存在回落风险，关注社库变化，操作上建议前期多单逢高止盈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915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节前下游补库，市场情绪有所回暖</w:t>
      </w:r>
      <w:bookmarkEnd w:id="25"/>
    </w:p>
    <w:p>
      <w:pPr>
        <w:ind w:left="630" w:leftChars="300"/>
        <w:rPr>
          <w:rFonts w:ascii="楷体" w:hAnsi="楷体" w:eastAsia="楷体"/>
          <w:sz w:val="24"/>
          <w:szCs w:val="24"/>
        </w:rPr>
      </w:pPr>
      <w:r>
        <w:rPr>
          <w:rFonts w:hint="eastAsia" w:ascii="楷体" w:hAnsi="楷体" w:eastAsia="楷体"/>
          <w:sz w:val="24"/>
          <w:szCs w:val="24"/>
        </w:rPr>
        <w:t>4月29日，Si2406主力合约呈反弹走势，收盘价11965元/吨，较上一收盘价涨跌幅+1.70%。近期，在下游节前补库下，市场成交略有好转，使得仓单有所注销，但补库力度暂未出现大幅增加，注销幅度有所收窄，仓单库存压力并未得到有效缓解。展望后市，在仓单库存压力依旧较大背景下，且丰水期供应存在复产预期，对盘面大幅反弹存在压制作用。策略上，建议节前适当降低仓位，暂时观望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7750"/>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2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泰国进入开割季 天胶短期或偏弱整理</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有所去化。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抛储消息一出以及宋干节后泰国主产区进入开割期，短期天胶或震荡偏弱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8625"/>
      <w:r>
        <w:rPr>
          <w:rFonts w:hint="eastAsia" w:ascii="楷体" w:hAnsi="楷体" w:eastAsia="楷体"/>
          <w:b/>
          <w:color w:val="000000" w:themeColor="text1"/>
          <w:sz w:val="24"/>
          <w:szCs w:val="24"/>
          <w14:textFill>
            <w14:solidFill>
              <w14:schemeClr w14:val="tx1"/>
            </w14:solidFill>
          </w14:textFill>
        </w:rPr>
        <w:t>聚烯烃：供需双弱 聚烯烃或震荡整理为主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支撑波动较大，预计聚烯烃区间震荡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12316"/>
      <w:r>
        <w:rPr>
          <w:rFonts w:hint="eastAsia" w:ascii="楷体" w:hAnsi="楷体" w:eastAsia="楷体"/>
          <w:b/>
          <w:color w:val="000000" w:themeColor="text1"/>
          <w:sz w:val="24"/>
          <w:szCs w:val="24"/>
          <w14:textFill>
            <w14:solidFill>
              <w14:schemeClr w14:val="tx1"/>
            </w14:solidFill>
          </w14:textFill>
        </w:rPr>
        <w:t>玻璃：供需矛盾不突出，临近假期注意控制仓位</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4月29日报道：今日浮法玻璃现货价格1707元/吨，较上一交易日持平，较上周-5元/吨。供给上，日熔量17.45万吨/天。库存上，截止到20240425，全国浮法玻璃样本企业总库存5993.2万重箱，环比+73.6万重箱，环比1.24%。现货端，华北地区产销良好，开始涨价，湖北库存压力较大，价格维稳。期价上行带动现货价格回暖，原片厂销售策略转向涨价刺激下游补库，效果有待观察。总体来看，终端需求不温不火，供给矛盾并不突出，期价目前小幅升水沙河均价，期现可抓住近月套利机会，短线情绪偏强，节后需求预期能否得以验证有待观察，建议节前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29097"/>
      <w:r>
        <w:rPr>
          <w:rFonts w:hint="eastAsia" w:ascii="楷体" w:hAnsi="楷体" w:eastAsia="楷体"/>
          <w:b/>
          <w:color w:val="000000" w:themeColor="text1"/>
          <w:sz w:val="24"/>
          <w:szCs w:val="24"/>
          <w14:textFill>
            <w14:solidFill>
              <w14:schemeClr w14:val="tx1"/>
            </w14:solidFill>
          </w14:textFill>
        </w:rPr>
        <w:t>纯碱：节前情绪偏强，尾部风险加大</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纯碱本周现货报价大稳小动，低价补涨，高价稳价。华中重碱报价在2200-2300元/吨左右，轻碱报价约在2000元/吨附近。从供给端来看，隆众资讯4月25日报道：纯碱周产量73.04万吨，环比增加1.67万吨，涨幅2.34%。从库存上看，截止到2024年4月29日，周一国内纯碱厂家总库存86.04万吨，环比上周四下降1.81万吨，跌幅2.06%，主要去库为轻碱，重碱累库。需求端表现平稳，轻碱订单较好，重碱表现一般，节前适量补库，低价产销较好，高价下游抵触心理较强。盘面上，上周碱厂封单涨价配合收敛基差，周一现货快速涨价后，下游观望情绪变强，期现商买现货抛盘面的套利单锁库，市场流动性较差，目前期价略有升水现货。临近假期多空离场，窄幅震荡。需要注意目前高价情况下，五一节后继续超预期检修的动能减少，高供给叠加进口增量下，5月供给并不紧张，上下游价格博弈，若碱价要继续上行需要碱厂落地更多的检修计划或者下游需求超预期，故从风控的角度来看，建议节前控制仓位，谨防节后回调风险。</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6643"/>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1173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淀粉-玉米价差显著收窄</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现货继续稳中有跌，东北产区相对坚挺，因国家收储支撑，加上当地深加工与饲料企业库存相对偏低，而华北与南方销区延续跌势，前者主要源于玉米余粮与新麦上市压力，后者主要源于进口谷物库存依然充裕，现货表现弱势导致期价上涨缺乏驱动。我们基于年度产需缺口判断维持谨慎看多观点，接下来重点关注华北小麦产量前景、华北玉米销售进度及其南方港口谷物特别是内外贸玉米库存变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基差表现分化，这主要源于原料端即华北-东北玉米价差，近月价差收窄的主要原因是当前行业供需宽松背景之下华北淀粉实际生产成本低于盘面期价，而远月价差有所走扩的原因则更多是对于后期华北玉米价格上涨的担忧。考虑到行业开机率下滑，而副产品价格依然低迷，淀粉-玉米价差短期收窄空间或受限。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4872"/>
      <w:r>
        <w:rPr>
          <w:rFonts w:hint="eastAsia" w:ascii="楷体" w:hAnsi="楷体" w:eastAsia="楷体"/>
          <w:b/>
          <w:bCs/>
          <w:color w:val="000000" w:themeColor="text1"/>
          <w14:textFill>
            <w14:solidFill>
              <w14:schemeClr w14:val="tx1"/>
            </w14:solidFill>
          </w14:textFill>
        </w:rPr>
        <w:t>畜禽养殖：期价多有回落</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考虑到近月期价已转为贴水现货，表明其已转而反映现货回落预期，接下来需要关注现货走势，而在远月-近月价差持续走扩之后，远月期价升水或已经在一定程度上反映现货上涨预期。据此我们中期谨慎看多，短期维持中性观点，建议投资者观望为宜，等待再次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从原料成本角度看，考虑到鸡蛋养殖利润因行业供需处于往年同期低位，饲料成本因素对鸡蛋养殖利润的影响或相对大于生猪，在这种情况下，需要特别留意饲料原料即豆粕和玉米上涨的持续性。近期期价大幅反弹或主要源于两个方面，其一是外围禽流感疫情爆发，市场预期可能刺激我国鸡蛋出口需求；其二是近期蛋鸡养殖利润亏损之后，养殖户淘汰积极性上升，蛋鸡淘汰日龄、淘汰鸡价格及周度淘汰量均可以印证，这有望改善远期鸡蛋供需。但需要指出的是，鸡蛋期现货反弹或改善养殖利润，反而可能导致淘汰进程延后，不利于远月期价。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27574"/>
      <w:r>
        <w:rPr>
          <w:rFonts w:hint="eastAsia" w:ascii="楷体" w:hAnsi="楷体" w:eastAsia="楷体"/>
          <w:b/>
          <w:bCs/>
          <w:color w:val="000000" w:themeColor="text1"/>
          <w14:textFill>
            <w14:solidFill>
              <w14:schemeClr w14:val="tx1"/>
            </w14:solidFill>
          </w14:textFill>
        </w:rPr>
        <w:t>白糖：外盘大涨，内盘小幅反弹</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纽约ICE糖11主连上涨3.46%，伦敦ICE白砂糖主连上涨1.70%。上周巴西中南部仅有少量降雨，加上此前数月巴西异常干旱，市场担心过度干旱会减少巴西糖产量；泰国气象部表示，泰国半数地区气温创历史高记录，干燥天气没有结束迹象，甘蔗生长受影响，两大食糖主产国预期产量下降推动糖价上涨。此外，巴西雷亚尔走强也利好糖价。国内昨日夜盘白糖主力合约小幅上涨0.03%，目前供需端无明显改善现象，期价上涨主要是新榨季种植因素释放利多信号。广西受长期低温阴雨天气和收榨进度推迟影响，目前种植工作尚未完成，预计本年度糖供应将推迟；云南四月份干旱天气导致出苗状态不好。由于目前关于国内新榨季供应量的预期不确定，预计期价震荡运行，建议投资者维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1469"/>
      <w:r>
        <w:rPr>
          <w:rFonts w:hint="eastAsia" w:ascii="楷体" w:hAnsi="楷体" w:eastAsia="楷体"/>
          <w:b/>
          <w:bCs/>
          <w:color w:val="000000" w:themeColor="text1"/>
          <w14:textFill>
            <w14:solidFill>
              <w14:schemeClr w14:val="tx1"/>
            </w14:solidFill>
          </w14:textFill>
        </w:rPr>
        <w:t>棉花：美棉上涨，郑棉价格稳定</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2号棉花主连上涨0.52%，期价反弹。美棉前两周价格快速下跌，目前市场已逐渐消化利空因素影响，同时美棉签约数量环比增加，短期跌势放缓。但外围环境仍未改善，美国第一季度经济增速为两年来最慢，宏观情绪悲观，价格受低迷的经济环境压制，长期来看棉价或仍偏弱运行。国内昨日夜盘棉花主力合约不涨不跌，棉纱主力合约下跌0.07%。供应端方面，3月国内大量进口美棉进一步加剧供应宽松的局面；需求端方面，“金三银四”的传统旺季表现不旺，即将进入5月淡季，纺企进一步下调开机率，需求疲弱暂时没有好转。目前棉花播种开展，天气因素未对播种过程产生重大影响，等待后续新信号产生。总体而言，我们仍保持棉价偏弱运行的观点不变，投资者可考虑谨慎空单。</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1670"/>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3664"/>
      <w:r>
        <w:rPr>
          <w:rFonts w:hint="eastAsia" w:ascii="Times New Roman" w:hAnsi="Times New Roman" w:eastAsia="楷体"/>
          <w:b/>
          <w:color w:val="000000" w:themeColor="text1"/>
          <w:sz w:val="24"/>
          <w:szCs w:val="24"/>
          <w14:textFill>
            <w14:solidFill>
              <w14:schemeClr w14:val="tx1"/>
            </w14:solidFill>
          </w14:textFill>
        </w:rPr>
        <w:t>集运指数（欧线）：节前多头获利平仓，EC集体回落</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近日已有MSC、马士基、达飞等多家航司宣布上调5月份欧线运价，提振市场情绪。上周五公布SCFI，其中欧线数据大涨超16%，反映5月初运价上涨水平。因此主力合约前期上涨至近3000点</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但由于节前临近，投资者为降低风险，多头获利离场，EC集体下跌，远月合约跌停。未来关注点为5月份提价效果以及中东局势走向，近期交易风险较大，建议投资者节前交易保持观望。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19667"/>
      <w:bookmarkStart w:id="41" w:name="_Toc12779"/>
      <w:bookmarkStart w:id="42" w:name="_Toc72481108"/>
      <w:bookmarkStart w:id="43" w:name="_Toc98426751"/>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2024年4月30日星期二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89B63EF"/>
    <w:rsid w:val="49BF13F0"/>
    <w:rsid w:val="49D75468"/>
    <w:rsid w:val="49E169F0"/>
    <w:rsid w:val="4A4A74EF"/>
    <w:rsid w:val="4A6F6249"/>
    <w:rsid w:val="4AB74C38"/>
    <w:rsid w:val="4B14426D"/>
    <w:rsid w:val="4B6224E5"/>
    <w:rsid w:val="4B8C4A56"/>
    <w:rsid w:val="4BF97936"/>
    <w:rsid w:val="4C457E30"/>
    <w:rsid w:val="4D2A3925"/>
    <w:rsid w:val="4D597189"/>
    <w:rsid w:val="4DB20386"/>
    <w:rsid w:val="4DF02D90"/>
    <w:rsid w:val="4E665CB5"/>
    <w:rsid w:val="4FBA2B77"/>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2024-04-30T02:22:19Z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