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6" w:name="_GoBack"/>
          <w:bookmarkEnd w:id="46"/>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_Toc15778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_Toc10136 </w:instrText>
          </w:r>
          <w:r>
            <w:rPr>
              <w:bCs/>
            </w:rPr>
            <w:fldChar w:fldCharType="separate"/>
          </w:r>
          <w:r>
            <w:rPr>
              <w:rFonts w:hint="eastAsia" w:ascii="Times New Roman" w:hAnsi="Times New Roman" w:eastAsia="楷体"/>
              <w:szCs w:val="24"/>
            </w:rPr>
            <w:t>股指：维持相对防御思维</w:t>
          </w:r>
          <w:r>
            <w:rPr>
              <w:bCs/>
            </w:rPr>
            <w:fldChar w:fldCharType="end"/>
          </w:r>
        </w:p>
        <w:p>
          <w:pPr>
            <w:pStyle w:val="59"/>
            <w:tabs>
              <w:tab w:val="right" w:leader="dot" w:pos="8306"/>
            </w:tabs>
          </w:pPr>
          <w:r>
            <w:rPr>
              <w:bCs/>
            </w:rPr>
            <w:fldChar w:fldCharType="begin"/>
          </w:r>
          <w:r>
            <w:rPr>
              <w:bCs/>
            </w:rPr>
            <w:instrText xml:space="preserve"> HYPERLINK \l _Toc10949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_Toc14396 </w:instrText>
          </w:r>
          <w:r>
            <w:rPr>
              <w:bCs/>
            </w:rPr>
            <w:fldChar w:fldCharType="separate"/>
          </w:r>
          <w:r>
            <w:rPr>
              <w:rFonts w:hint="eastAsia" w:ascii="Times New Roman" w:hAnsi="Times New Roman" w:eastAsia="楷体"/>
              <w:szCs w:val="24"/>
            </w:rPr>
            <w:t>贵金属：美元指数上涨，贵金属价格小幅反弹</w:t>
          </w:r>
          <w:r>
            <w:rPr>
              <w:bCs/>
            </w:rPr>
            <w:fldChar w:fldCharType="end"/>
          </w:r>
        </w:p>
        <w:p>
          <w:pPr>
            <w:pStyle w:val="59"/>
            <w:tabs>
              <w:tab w:val="right" w:leader="dot" w:pos="8306"/>
            </w:tabs>
          </w:pPr>
          <w:r>
            <w:rPr>
              <w:bCs/>
            </w:rPr>
            <w:fldChar w:fldCharType="begin"/>
          </w:r>
          <w:r>
            <w:rPr>
              <w:bCs/>
            </w:rPr>
            <w:instrText xml:space="preserve"> HYPERLINK \l _Toc31824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_Toc5727 </w:instrText>
          </w:r>
          <w:r>
            <w:rPr>
              <w:bCs/>
            </w:rPr>
            <w:fldChar w:fldCharType="separate"/>
          </w:r>
          <w:r>
            <w:rPr>
              <w:rFonts w:hint="eastAsia" w:ascii="楷体" w:hAnsi="楷体" w:eastAsia="楷体"/>
              <w:szCs w:val="24"/>
            </w:rPr>
            <w:t>碳酸锂：现货价格持稳，期价小幅上涨</w:t>
          </w:r>
          <w:r>
            <w:rPr>
              <w:bCs/>
            </w:rPr>
            <w:fldChar w:fldCharType="end"/>
          </w:r>
        </w:p>
        <w:p>
          <w:pPr>
            <w:pStyle w:val="74"/>
            <w:tabs>
              <w:tab w:val="right" w:leader="dot" w:pos="8306"/>
            </w:tabs>
          </w:pPr>
          <w:r>
            <w:rPr>
              <w:bCs/>
            </w:rPr>
            <w:fldChar w:fldCharType="begin"/>
          </w:r>
          <w:r>
            <w:rPr>
              <w:bCs/>
            </w:rPr>
            <w:instrText xml:space="preserve"> HYPERLINK \l _Toc21057 </w:instrText>
          </w:r>
          <w:r>
            <w:rPr>
              <w:bCs/>
            </w:rPr>
            <w:fldChar w:fldCharType="separate"/>
          </w:r>
          <w:r>
            <w:rPr>
              <w:rFonts w:hint="eastAsia" w:ascii="楷体" w:hAnsi="楷体" w:eastAsia="楷体"/>
              <w:szCs w:val="24"/>
            </w:rPr>
            <w:t>铜：短期价格高位僵持，继续关注资金动态</w:t>
          </w:r>
          <w:r>
            <w:rPr>
              <w:bCs/>
            </w:rPr>
            <w:fldChar w:fldCharType="end"/>
          </w:r>
        </w:p>
        <w:p>
          <w:pPr>
            <w:pStyle w:val="74"/>
            <w:tabs>
              <w:tab w:val="right" w:leader="dot" w:pos="8306"/>
            </w:tabs>
          </w:pPr>
          <w:r>
            <w:rPr>
              <w:bCs/>
            </w:rPr>
            <w:fldChar w:fldCharType="begin"/>
          </w:r>
          <w:r>
            <w:rPr>
              <w:bCs/>
            </w:rPr>
            <w:instrText xml:space="preserve"> HYPERLINK \l _Toc2456 </w:instrText>
          </w:r>
          <w:r>
            <w:rPr>
              <w:bCs/>
            </w:rPr>
            <w:fldChar w:fldCharType="separate"/>
          </w:r>
          <w:r>
            <w:rPr>
              <w:rFonts w:hint="eastAsia" w:ascii="楷体" w:hAnsi="楷体" w:eastAsia="楷体"/>
              <w:szCs w:val="24"/>
            </w:rPr>
            <w:t>铝：铝价回落，新区间震荡运行</w:t>
          </w:r>
          <w:r>
            <w:rPr>
              <w:bCs/>
            </w:rPr>
            <w:fldChar w:fldCharType="end"/>
          </w:r>
        </w:p>
        <w:p>
          <w:pPr>
            <w:pStyle w:val="74"/>
            <w:tabs>
              <w:tab w:val="right" w:leader="dot" w:pos="8306"/>
            </w:tabs>
          </w:pPr>
          <w:r>
            <w:rPr>
              <w:bCs/>
            </w:rPr>
            <w:fldChar w:fldCharType="begin"/>
          </w:r>
          <w:r>
            <w:rPr>
              <w:bCs/>
            </w:rPr>
            <w:instrText xml:space="preserve"> HYPERLINK \l _Toc18185 </w:instrText>
          </w:r>
          <w:r>
            <w:rPr>
              <w:bCs/>
            </w:rPr>
            <w:fldChar w:fldCharType="separate"/>
          </w:r>
          <w:r>
            <w:rPr>
              <w:rFonts w:hint="eastAsia" w:ascii="楷体" w:hAnsi="楷体" w:eastAsia="楷体"/>
              <w:szCs w:val="24"/>
            </w:rPr>
            <w:t>锌：锌价高位区间震荡，上下驱动有限</w:t>
          </w:r>
          <w:r>
            <w:rPr>
              <w:bCs/>
            </w:rPr>
            <w:fldChar w:fldCharType="end"/>
          </w:r>
        </w:p>
        <w:p>
          <w:pPr>
            <w:pStyle w:val="74"/>
            <w:tabs>
              <w:tab w:val="right" w:leader="dot" w:pos="8306"/>
            </w:tabs>
          </w:pPr>
          <w:r>
            <w:rPr>
              <w:bCs/>
            </w:rPr>
            <w:fldChar w:fldCharType="begin"/>
          </w:r>
          <w:r>
            <w:rPr>
              <w:bCs/>
            </w:rPr>
            <w:instrText xml:space="preserve"> HYPERLINK \l _Toc14087 </w:instrText>
          </w:r>
          <w:r>
            <w:rPr>
              <w:bCs/>
            </w:rPr>
            <w:fldChar w:fldCharType="separate"/>
          </w:r>
          <w:r>
            <w:rPr>
              <w:rFonts w:hint="eastAsia" w:ascii="楷体" w:hAnsi="楷体" w:eastAsia="楷体"/>
              <w:szCs w:val="24"/>
            </w:rPr>
            <w:t>镍：短期镍价承压运行</w:t>
          </w:r>
          <w:r>
            <w:rPr>
              <w:bCs/>
            </w:rPr>
            <w:fldChar w:fldCharType="end"/>
          </w:r>
        </w:p>
        <w:p>
          <w:pPr>
            <w:pStyle w:val="74"/>
            <w:tabs>
              <w:tab w:val="right" w:leader="dot" w:pos="8306"/>
            </w:tabs>
          </w:pPr>
          <w:r>
            <w:rPr>
              <w:bCs/>
            </w:rPr>
            <w:fldChar w:fldCharType="begin"/>
          </w:r>
          <w:r>
            <w:rPr>
              <w:bCs/>
            </w:rPr>
            <w:instrText xml:space="preserve"> HYPERLINK \l _Toc13833 </w:instrText>
          </w:r>
          <w:r>
            <w:rPr>
              <w:bCs/>
            </w:rPr>
            <w:fldChar w:fldCharType="separate"/>
          </w:r>
          <w:r>
            <w:rPr>
              <w:rFonts w:hint="eastAsia" w:ascii="楷体" w:hAnsi="楷体" w:eastAsia="楷体"/>
              <w:szCs w:val="24"/>
            </w:rPr>
            <w:t>不锈钢：原料涨幅明显，支撑短期价格</w:t>
          </w:r>
          <w:r>
            <w:rPr>
              <w:bCs/>
            </w:rPr>
            <w:fldChar w:fldCharType="end"/>
          </w:r>
        </w:p>
        <w:p>
          <w:pPr>
            <w:pStyle w:val="74"/>
            <w:tabs>
              <w:tab w:val="right" w:leader="dot" w:pos="8306"/>
            </w:tabs>
          </w:pPr>
          <w:r>
            <w:rPr>
              <w:bCs/>
            </w:rPr>
            <w:fldChar w:fldCharType="begin"/>
          </w:r>
          <w:r>
            <w:rPr>
              <w:bCs/>
            </w:rPr>
            <w:instrText xml:space="preserve"> HYPERLINK \l _Toc13374 </w:instrText>
          </w:r>
          <w:r>
            <w:rPr>
              <w:bCs/>
            </w:rPr>
            <w:fldChar w:fldCharType="separate"/>
          </w:r>
          <w:r>
            <w:rPr>
              <w:rFonts w:hint="eastAsia" w:ascii="楷体" w:hAnsi="楷体" w:eastAsia="楷体"/>
              <w:szCs w:val="24"/>
            </w:rPr>
            <w:t>工业硅：库存压力依旧较大，反弹高度或受限</w:t>
          </w:r>
          <w:r>
            <w:rPr>
              <w:bCs/>
            </w:rPr>
            <w:fldChar w:fldCharType="end"/>
          </w:r>
        </w:p>
        <w:p>
          <w:pPr>
            <w:pStyle w:val="59"/>
            <w:tabs>
              <w:tab w:val="right" w:leader="dot" w:pos="8306"/>
            </w:tabs>
          </w:pPr>
          <w:r>
            <w:rPr>
              <w:bCs/>
            </w:rPr>
            <w:fldChar w:fldCharType="begin"/>
          </w:r>
          <w:r>
            <w:rPr>
              <w:bCs/>
            </w:rPr>
            <w:instrText xml:space="preserve"> HYPERLINK \l _Toc20318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_Toc26228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抛储消息与泰国开割并存 天胶短期或偏弱整理</w:t>
          </w:r>
          <w:r>
            <w:rPr>
              <w:bCs/>
            </w:rPr>
            <w:fldChar w:fldCharType="end"/>
          </w:r>
        </w:p>
        <w:p>
          <w:pPr>
            <w:pStyle w:val="74"/>
            <w:tabs>
              <w:tab w:val="right" w:leader="dot" w:pos="8306"/>
            </w:tabs>
          </w:pPr>
          <w:r>
            <w:rPr>
              <w:bCs/>
            </w:rPr>
            <w:fldChar w:fldCharType="begin"/>
          </w:r>
          <w:r>
            <w:rPr>
              <w:bCs/>
            </w:rPr>
            <w:instrText xml:space="preserve"> HYPERLINK \l _Toc14406 </w:instrText>
          </w:r>
          <w:r>
            <w:rPr>
              <w:bCs/>
            </w:rPr>
            <w:fldChar w:fldCharType="separate"/>
          </w:r>
          <w:r>
            <w:rPr>
              <w:rFonts w:hint="eastAsia" w:ascii="楷体" w:hAnsi="楷体" w:eastAsia="楷体"/>
              <w:szCs w:val="24"/>
            </w:rPr>
            <w:t>聚烯烃：供需双弱 聚烯烃或震荡整理为主</w:t>
          </w:r>
          <w:r>
            <w:rPr>
              <w:bCs/>
            </w:rPr>
            <w:fldChar w:fldCharType="end"/>
          </w:r>
        </w:p>
        <w:p>
          <w:pPr>
            <w:pStyle w:val="74"/>
            <w:tabs>
              <w:tab w:val="right" w:leader="dot" w:pos="8306"/>
            </w:tabs>
          </w:pPr>
          <w:r>
            <w:rPr>
              <w:bCs/>
            </w:rPr>
            <w:fldChar w:fldCharType="begin"/>
          </w:r>
          <w:r>
            <w:rPr>
              <w:bCs/>
            </w:rPr>
            <w:instrText xml:space="preserve"> HYPERLINK \l _Toc23255 </w:instrText>
          </w:r>
          <w:r>
            <w:rPr>
              <w:bCs/>
            </w:rPr>
            <w:fldChar w:fldCharType="separate"/>
          </w:r>
          <w:r>
            <w:rPr>
              <w:rFonts w:hint="eastAsia" w:ascii="楷体" w:hAnsi="楷体" w:eastAsia="楷体"/>
              <w:szCs w:val="24"/>
            </w:rPr>
            <w:t>玻璃：期价上行带动现货上涨，节前价格偏强震荡</w:t>
          </w:r>
          <w:r>
            <w:rPr>
              <w:bCs/>
            </w:rPr>
            <w:fldChar w:fldCharType="end"/>
          </w:r>
        </w:p>
        <w:p>
          <w:pPr>
            <w:pStyle w:val="74"/>
            <w:tabs>
              <w:tab w:val="right" w:leader="dot" w:pos="8306"/>
            </w:tabs>
          </w:pPr>
          <w:r>
            <w:rPr>
              <w:bCs/>
            </w:rPr>
            <w:fldChar w:fldCharType="begin"/>
          </w:r>
          <w:r>
            <w:rPr>
              <w:bCs/>
            </w:rPr>
            <w:instrText xml:space="preserve"> HYPERLINK \l _Toc17046 </w:instrText>
          </w:r>
          <w:r>
            <w:rPr>
              <w:bCs/>
            </w:rPr>
            <w:fldChar w:fldCharType="separate"/>
          </w:r>
          <w:r>
            <w:rPr>
              <w:rFonts w:hint="eastAsia" w:ascii="楷体" w:hAnsi="楷体" w:eastAsia="楷体"/>
              <w:szCs w:val="24"/>
            </w:rPr>
            <w:t>纯碱：临近交割投机需求释放，期价高位震荡</w:t>
          </w:r>
          <w:r>
            <w:rPr>
              <w:bCs/>
            </w:rPr>
            <w:fldChar w:fldCharType="end"/>
          </w:r>
        </w:p>
        <w:p>
          <w:pPr>
            <w:pStyle w:val="59"/>
            <w:tabs>
              <w:tab w:val="right" w:leader="dot" w:pos="8306"/>
            </w:tabs>
          </w:pPr>
          <w:r>
            <w:rPr>
              <w:bCs/>
            </w:rPr>
            <w:fldChar w:fldCharType="begin"/>
          </w:r>
          <w:r>
            <w:rPr>
              <w:bCs/>
            </w:rPr>
            <w:instrText xml:space="preserve"> HYPERLINK \l _Toc19186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_Toc10566 </w:instrText>
          </w:r>
          <w:r>
            <w:rPr>
              <w:bCs/>
            </w:rPr>
            <w:fldChar w:fldCharType="separate"/>
          </w:r>
          <w:r>
            <w:rPr>
              <w:rFonts w:hint="eastAsia" w:ascii="楷体" w:hAnsi="楷体" w:eastAsia="楷体"/>
              <w:bCs/>
            </w:rPr>
            <w:t>玉米与淀粉：</w:t>
          </w:r>
          <w:r>
            <w:rPr>
              <w:rFonts w:hint="eastAsia" w:ascii="楷体" w:hAnsi="楷体" w:eastAsia="楷体"/>
            </w:rPr>
            <w:t>现货弱势继续拖累盘面期价</w:t>
          </w:r>
          <w:r>
            <w:rPr>
              <w:bCs/>
            </w:rPr>
            <w:fldChar w:fldCharType="end"/>
          </w:r>
        </w:p>
        <w:p>
          <w:pPr>
            <w:pStyle w:val="74"/>
            <w:tabs>
              <w:tab w:val="right" w:leader="dot" w:pos="8306"/>
            </w:tabs>
          </w:pPr>
          <w:r>
            <w:rPr>
              <w:bCs/>
            </w:rPr>
            <w:fldChar w:fldCharType="begin"/>
          </w:r>
          <w:r>
            <w:rPr>
              <w:bCs/>
            </w:rPr>
            <w:instrText xml:space="preserve"> HYPERLINK \l _Toc17792 </w:instrText>
          </w:r>
          <w:r>
            <w:rPr>
              <w:bCs/>
            </w:rPr>
            <w:fldChar w:fldCharType="separate"/>
          </w:r>
          <w:r>
            <w:rPr>
              <w:rFonts w:hint="eastAsia" w:ascii="楷体" w:hAnsi="楷体" w:eastAsia="楷体"/>
              <w:bCs/>
            </w:rPr>
            <w:t>畜禽养殖：生猪期价弱势反弹</w:t>
          </w:r>
          <w:r>
            <w:rPr>
              <w:bCs/>
            </w:rPr>
            <w:fldChar w:fldCharType="end"/>
          </w:r>
        </w:p>
        <w:p>
          <w:pPr>
            <w:pStyle w:val="74"/>
            <w:tabs>
              <w:tab w:val="right" w:leader="dot" w:pos="8306"/>
            </w:tabs>
          </w:pPr>
          <w:r>
            <w:rPr>
              <w:bCs/>
            </w:rPr>
            <w:fldChar w:fldCharType="begin"/>
          </w:r>
          <w:r>
            <w:rPr>
              <w:bCs/>
            </w:rPr>
            <w:instrText xml:space="preserve"> HYPERLINK \l _Toc13024 </w:instrText>
          </w:r>
          <w:r>
            <w:rPr>
              <w:bCs/>
            </w:rPr>
            <w:fldChar w:fldCharType="separate"/>
          </w:r>
          <w:r>
            <w:rPr>
              <w:rFonts w:hint="eastAsia" w:ascii="楷体" w:hAnsi="楷体" w:eastAsia="楷体"/>
              <w:bCs/>
            </w:rPr>
            <w:t>白糖：天气因素再次炒作，糖价小幅反弹</w:t>
          </w:r>
          <w:r>
            <w:rPr>
              <w:bCs/>
            </w:rPr>
            <w:fldChar w:fldCharType="end"/>
          </w:r>
        </w:p>
        <w:p>
          <w:pPr>
            <w:pStyle w:val="74"/>
            <w:tabs>
              <w:tab w:val="right" w:leader="dot" w:pos="8306"/>
            </w:tabs>
          </w:pPr>
          <w:r>
            <w:rPr>
              <w:bCs/>
            </w:rPr>
            <w:fldChar w:fldCharType="begin"/>
          </w:r>
          <w:r>
            <w:rPr>
              <w:bCs/>
            </w:rPr>
            <w:instrText xml:space="preserve"> HYPERLINK \l _Toc11655 </w:instrText>
          </w:r>
          <w:r>
            <w:rPr>
              <w:bCs/>
            </w:rPr>
            <w:fldChar w:fldCharType="separate"/>
          </w:r>
          <w:r>
            <w:rPr>
              <w:rFonts w:hint="eastAsia" w:ascii="楷体" w:hAnsi="楷体" w:eastAsia="楷体"/>
              <w:bCs/>
            </w:rPr>
            <w:t>棉花：弱势运行，无利多驱动</w:t>
          </w:r>
          <w:r>
            <w:rPr>
              <w:bCs/>
            </w:rPr>
            <w:fldChar w:fldCharType="end"/>
          </w:r>
        </w:p>
        <w:p>
          <w:pPr>
            <w:pStyle w:val="59"/>
            <w:tabs>
              <w:tab w:val="right" w:leader="dot" w:pos="8306"/>
            </w:tabs>
          </w:pPr>
          <w:r>
            <w:rPr>
              <w:bCs/>
            </w:rPr>
            <w:fldChar w:fldCharType="begin"/>
          </w:r>
          <w:r>
            <w:rPr>
              <w:bCs/>
            </w:rPr>
            <w:instrText xml:space="preserve"> HYPERLINK \l _Toc6763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_Toc3492 </w:instrText>
          </w:r>
          <w:r>
            <w:rPr>
              <w:bCs/>
            </w:rPr>
            <w:fldChar w:fldCharType="separate"/>
          </w:r>
          <w:r>
            <w:rPr>
              <w:rFonts w:hint="eastAsia" w:ascii="Times New Roman" w:hAnsi="Times New Roman" w:eastAsia="楷体"/>
              <w:szCs w:val="24"/>
            </w:rPr>
            <w:t>集运指数（欧线）：5月提价临近多头情绪未减</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15778"/>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0136"/>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维持相对防御思维</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临近业绩期尾声，绩差公司在强监管易出现业绩扎堆暴雷风险，与此同时红利和黄金资产进入了短期的“超买”区，止盈盘需求明显，市场持续缩量，上攻动能或出现整体性衰竭，建议五一假期前，维持相对防御思维。</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0949"/>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4396"/>
      <w:r>
        <w:rPr>
          <w:rFonts w:hint="eastAsia" w:ascii="Times New Roman" w:hAnsi="Times New Roman" w:eastAsia="楷体"/>
          <w:b/>
          <w:color w:val="000000" w:themeColor="text1"/>
          <w:sz w:val="24"/>
          <w:szCs w:val="24"/>
          <w14:textFill>
            <w14:solidFill>
              <w14:schemeClr w14:val="tx1"/>
            </w14:solidFill>
          </w14:textFill>
        </w:rPr>
        <w:t>贵金属：美元指数上涨，贵金属价格小幅反弹</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涨0.11%至105.82，沪金涨0.29%至551.42元/克；沪银涨0.16%至7077元/千克。欧洲央行管委内格尔表示，6月降息后不一定是一系列降息，服务业通胀仍然高企，受持续强劲工资增长推动，不能预先承诺特定的利率路径。欧洲央行副行长金多斯表示，抗通胀斗争即将结束，最大的潜在威胁来自服务业通胀；如果没有意外，6月降息看起来已经达成一致。欧洲央行管委内格尔表示，如果新的预测和最新数据证实通胀增速将回到2%，欧洲央行可以考虑降息。部分前期多单在高位止盈离场后，随着降息预期的修正以及避险情绪的缓和，金价短期内留意回调风险；银价留意下方20日均线支撑。地缘政治冲突等不确定性较强，后续持续关注相关事件发展，建议谨慎观望。</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31824"/>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5727"/>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碳酸锂：现货价格持稳，期价小幅上涨</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持稳运行，期价小幅上涨，07合约涨1.33%至110400元/吨。上游企业维持挺价情绪，少数企业报价上调，下游企业备货接近完成、维持刚需采购。3月国内进口碳酸锂约19043吨，环比增64%，同比增9%，其中从智利进口碳酸锂约16297吨，从阿根廷进口约2494吨。3月国内磷酸铁锂出口量142吨，环比增39%，同比增46%。SMM预计4月锂辉石端碳酸锂产量环比增约16%，锂辉石价格维持稳定。个别企业检修计划结束，供应回暖，碳酸锂现货货源紧张的情况有所缓解，上下游博弈期间期价短期或维持区间震荡。</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9719"/>
      <w:bookmarkStart w:id="19" w:name="_Toc25617"/>
      <w:bookmarkStart w:id="20" w:name="_Toc21057"/>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短期价格高位僵持，继续关注资金动态</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(1)产业：据外电4月24日消息，加拿大第一量子（First Quantum）公布，2024年第一季度，铜总产量为100,605吨，较2023年第四季度减少37%，因巴拿马科布雷铜矿（Cobre Panamá）处于停产状态。除去该矿影响，铜产量季环比增3%。</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(2)库存：4月24日，SHFE仓单库存220711吨，减279吨；LME仓单库存120225吨，减375吨。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(3)精废价差：4月24日，Mysteel精废价差3088，收窄88。目前价差在合理价差1481之上。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制造业数据走弱，海外再通胀交易受到挑战，但整体宏观利多驱动暂未发生明显变动，关注周四将公布的美国第一季度GDP数据和周五公布的3月个人消费支出(PCE)物价指数。基本面，铜矿持续受到干扰，供应收缩预期仍是支撑价格的主要因素，国内冶炼厂陆续进入检修期供应减少，加之近期冶炼厂出口增多带动国内库存开始去化，但高价仍压制下游消费，现货贴水维持高位，五一节前下游存一定补库需求，综合而言，短期利空仍有限，铜价高位或僵持，继续关注资金动态。</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6247"/>
      <w:bookmarkStart w:id="22" w:name="_Toc8897"/>
      <w:bookmarkStart w:id="23" w:name="_Toc2456"/>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铝价回落，新区间震荡运行</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制造业数据初值回落，欧洲表示6月降息可期，近期宏观情绪变化较大。基本面上看，矿端供应依旧偏紧，氧化铝前期因安全环保原因减产的产能复产节奏难达预期，云南神火计划复产电解铝产能90万吨，给予市场较强供应增产信号，预计二季度电解铝冶炼产能会出现明显增长，实际供应端受上游量价限制影响可 视增量相对有限。需求端在旺季有明显修复，传统消费有所拖累但新兴消费支撑需求走强，国内对外出口订单量增长，海内外库存去库，铝价震荡中枢上移，参考震荡区间19500-22000，铝价回落后建议关注低多机会。</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18185"/>
      <w:r>
        <w:rPr>
          <w:rFonts w:hint="eastAsia" w:ascii="楷体" w:hAnsi="楷体" w:eastAsia="楷体"/>
          <w:b/>
          <w:color w:val="000000" w:themeColor="text1"/>
          <w:sz w:val="24"/>
          <w:szCs w:val="24"/>
          <w14:textFill>
            <w14:solidFill>
              <w14:schemeClr w14:val="tx1"/>
            </w14:solidFill>
          </w14:textFill>
        </w:rPr>
        <w:t>锌：锌价高位区间震荡，上下驱动有限</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伦锌下行幅度较大带动沪锌走弱，市场多头资金假期前获利了结，国内基本面供需两弱，供应端矿端紧缺格局保持，市场可流动货物偏紧，冶炼厂产量受上游限制提升有限，冶炼利润负反馈引发市场供应减产猜测，海外需求有提振预期，国内下游需求指向终端消费有所拖累，库存绝对位置偏高，临近假期库存去库节奏缓慢，下游备货情绪积性不高。整体上看，锌价保持高位震荡，参考震荡区间22000-23000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4087"/>
      <w:r>
        <w:rPr>
          <w:rFonts w:hint="eastAsia" w:ascii="楷体" w:hAnsi="楷体" w:eastAsia="楷体"/>
          <w:b/>
          <w:color w:val="000000" w:themeColor="text1"/>
          <w:sz w:val="24"/>
          <w:szCs w:val="24"/>
          <w14:textFill>
            <w14:solidFill>
              <w14:schemeClr w14:val="tx1"/>
            </w14:solidFill>
          </w14:textFill>
        </w:rPr>
        <w:t>镍：短期镍价承压运行</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有色板块利好情绪仍存。原料方面，近日硫酸镍价格平稳运行，主要在于五一节前下游备货需求仍存，但MHP及硫酸镍供应已有增加，预计电积镍成本支撑存在下跌空间。需求方面，新能源汽车需求增量主要体现在经济性较好的磷酸铁锂电池，近期三元正极终端需求放增速较慢，多家三元材料企业亏损以促进出货；不锈钢厂利润空间尚可，排产维持高位。供应端，精炼镍产能持续释放，沪镍库存处于三年新高水平，反映过剩格局持续。综合而言，由于供应过剩格局及印尼镍矿扰动已被市场充分交易，短期镍价易受宏观扰动，目前有色板块情绪较强，但由于基本面偏弱，累库压力明显，镍价承压运行，持续关注宏观情绪的不确定性。</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3833"/>
      <w:r>
        <w:rPr>
          <w:rFonts w:hint="eastAsia" w:ascii="楷体" w:hAnsi="楷体" w:eastAsia="楷体"/>
          <w:b/>
          <w:color w:val="000000" w:themeColor="text1"/>
          <w:sz w:val="24"/>
          <w:szCs w:val="24"/>
          <w14:textFill>
            <w14:solidFill>
              <w14:schemeClr w14:val="tx1"/>
            </w14:solidFill>
          </w14:textFill>
        </w:rPr>
        <w:t>不锈钢：原料涨幅明显，支撑短期价格</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宏观利多情绪持续，提振有色板块。镍矿端，印尼镍矿现货仍偏紧，因此价格坚挺。镍铁端，受到镍铁收储传言及市场看涨情绪影响，高镍铁最新采购价格已上涨至990元/镍（到厂含税），对应304冷轧不锈钢成本基价为13550元/吨左右。需求方面，近期下游成交氛围整体有所好转，五一假期将至，下游或有备货动作，但考虑到房地产及基建等终端领域表现仍然低迷，预计5月节后需求动力难有起色。供应方面，由于目前产业利润尚可，不锈钢厂维持高位排产，其供需矛盾或将愈发凸显。库存方面，据Mysteel统计，上周不锈钢社会库存略有去库，但仍高于去年同期水平，仓单库存仍处于历史新高附近。综合而言，由于宏观情绪偏多，原料价格上涨，五一前后下游或有补库需求释放，短期价格存在支撑，但需警惕五一过后供需压力带来的回调风险。</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3374"/>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库存压力依旧较大，反弹高度或受限</w:t>
      </w:r>
      <w:bookmarkEnd w:id="27"/>
    </w:p>
    <w:p>
      <w:pPr>
        <w:ind w:left="630" w:leftChars="300"/>
        <w:rPr>
          <w:rFonts w:ascii="楷体" w:hAnsi="楷体" w:eastAsia="楷体"/>
          <w:sz w:val="24"/>
          <w:szCs w:val="24"/>
        </w:rPr>
      </w:pPr>
      <w:r>
        <w:rPr>
          <w:rFonts w:hint="eastAsia" w:ascii="楷体" w:hAnsi="楷体" w:eastAsia="楷体"/>
          <w:sz w:val="24"/>
          <w:szCs w:val="24"/>
        </w:rPr>
        <w:t>4月24日，Si2406主力合约呈冲高回落走势，收盘价11790元/吨，较上一收盘价涨跌幅+0.68%。近期，下游企业存在节前补库现象，市场成交略有好转，使得仓单有所注销，但注销幅度有所收窄，市场整体观望情绪依旧浓厚，多以刚需采购为主。在仓单库存压力依旧较大背景下，且丰水期供应恢复预期，预计盘面反弹高度有限。策略上，建议谨慎资金暂时观望，激进资金可尝试逢高做空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20318"/>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26228"/>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抛储消息与泰国开割并存 天胶短期或偏弱整理</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目前看，云南产区有传天气偏干，开割不顺。海南产区物候条件优越，已经开割。短期海内外产区原料价格仍然偏强。港口库存方面，近期由于进口量减少，因此港口库存有所去化。下游轮胎厂在天胶价格屡创新高后也没有出现投机性购入原料的情况，证实橡胶的供应十分充足。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3-4月车企优惠政策延续。根据工信部最新公布的新车上市名录里面可以看到，多家车企的新车型与换代车型将于近期发售，亦将刺激未来汽车销售增长预期。整体看，近期海外原料价格虽止涨回调，但仍处于偏强水平，一定程度上对胶价存底部支撑。但抛储消息一出以及宋干节后泰国主产区进入开割期，短期天胶或震荡偏弱整理。</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14406"/>
      <w:r>
        <w:rPr>
          <w:rFonts w:hint="eastAsia" w:ascii="楷体" w:hAnsi="楷体" w:eastAsia="楷体"/>
          <w:b/>
          <w:color w:val="000000" w:themeColor="text1"/>
          <w:sz w:val="24"/>
          <w:szCs w:val="24"/>
          <w14:textFill>
            <w14:solidFill>
              <w14:schemeClr w14:val="tx1"/>
            </w14:solidFill>
          </w14:textFill>
        </w:rPr>
        <w:t>聚烯烃：供需双弱 聚烯烃或震荡整理为主</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临近假期，下游工厂有提前备货的补库需求。PP进口窗口关闭，LL进口利润与PP出口利润盈亏平衡附近。聚烯烃供需双弱，成本端支撑波动较大，预计聚烯烃区间震荡为主。</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23255"/>
      <w:r>
        <w:rPr>
          <w:rFonts w:hint="eastAsia" w:ascii="楷体" w:hAnsi="楷体" w:eastAsia="楷体"/>
          <w:b/>
          <w:color w:val="000000" w:themeColor="text1"/>
          <w:sz w:val="24"/>
          <w:szCs w:val="24"/>
          <w14:textFill>
            <w14:solidFill>
              <w14:schemeClr w14:val="tx1"/>
            </w14:solidFill>
          </w14:textFill>
        </w:rPr>
        <w:t>玻璃：期价上行带动现货上涨，节前价格偏强震荡</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4月24日报道：今日浮法玻璃现货价格1714元/吨，较上一交易日+1元/吨。供给上，日熔量17.43万吨/天。库存上，截止到20240418，全国浮法玻璃样本企业总库存5919.6万重箱，环比-117.8万重箱，环比-1.95%。折库存天数24.4天，较上期-0.4天。现货端，华北地区产销良好，开始涨价，湖北库存压力较大，价格维稳。期价上行带动现货价格回暖，原片厂销售策略转向涨价刺激下游补库，效果有待观察。总体来看，终端需求不温不火，供给矛盾并不突出，期价目前小幅升水沙河价格20元/吨左右，后市沙河可能抬价收敛基差。短线情绪偏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17046"/>
      <w:r>
        <w:rPr>
          <w:rFonts w:hint="eastAsia" w:ascii="楷体" w:hAnsi="楷体" w:eastAsia="楷体"/>
          <w:b/>
          <w:color w:val="000000" w:themeColor="text1"/>
          <w:sz w:val="24"/>
          <w:szCs w:val="24"/>
          <w14:textFill>
            <w14:solidFill>
              <w14:schemeClr w14:val="tx1"/>
            </w14:solidFill>
          </w14:textFill>
        </w:rPr>
        <w:t>纯碱：临近交割投机需求释放，期价高位震荡</w:t>
      </w:r>
      <w:bookmarkEnd w:id="3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周一纯碱现货报价普遍上涨100-150元/吨，华中重碱报价在2000-2100元/吨左右，较上周+100-150元/吨，轻碱报价较前期涨100元/吨，约在1950元/吨附近。从供给端来看，隆众资讯4月18日报道：周内纯碱产量71.37万吨，涨幅1.06%，纯碱开工率85.61%，环比增加0.90%，检修量超预。从库存上看，截止到2024年4月22日，本周国内纯碱厂家总库存87.30万吨，环比上周四减少1.79万吨，跌幅2.01%。其中，轻质库存35.87万吨，重质库存51.43万吨。需求端表现平稳，轻碱订单较好，重碱表现一般，节前适量补库，低价产销较好。盘面上，上周检修略超预期，期价大幅反弹，期价快速上涨带动现货上涨，碱厂周末封单涨价配合收敛基差，周一现货快速涨价后，下游观望情绪变强，短线情绪偏多，但价格升水，建议等待节后回调后低多09合约。</w:t>
      </w:r>
    </w:p>
    <w:p>
      <w:pPr>
        <w:ind w:left="630" w:leftChars="300"/>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19186"/>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ascii="楷体" w:hAnsi="楷体" w:eastAsia="楷体"/>
          <w:b/>
        </w:rPr>
      </w:pPr>
      <w:bookmarkStart w:id="35" w:name="_Toc10566"/>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现货弱势继续拖累盘面期价</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国内玉米现货持续分化运行，东北产区相对坚挺，因国家收储支撑，加上当地深加工与饲料企业库存相对偏低，而华北与南方销区持续弱势，甚至创出新低，前者主要源于余粮与新麦上市压力，后者主要源于进口谷物库存依然充裕，现货表现分化引发市场对于后期玉米定价权与定价区间的分歧，导致期价陷入涨跌两难的境地，即下方有支撑，上涨缺乏驱动。我们基于年度产需缺口判断维持谨慎看多观点，接下来重点关注华北小麦产量前景、华北玉米销售进度及其南方港口谷物特别是内外贸玉米库存变动。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在前期因行业供需宽松背景下的原料成本因素带动淀粉-玉米价差持续收窄之后，近期价差整体震荡反弹，主要原因有二，其一是随着华北玉米余粮的消耗，后期华北-东北玉米价差有走扩的可能性；其二是市场担心期现货生产利润下滑之后，行业开机率有望趋于下滑，继而带来行业供需的改善。但考虑到原料端与供需端形势尚不明朗，价差方向仍存在较大的不确定性。综上所述，我们维持谨慎看多观点，建议前期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6" w:name="_Toc17792"/>
      <w:r>
        <w:rPr>
          <w:rFonts w:hint="eastAsia" w:ascii="楷体" w:hAnsi="楷体" w:eastAsia="楷体"/>
          <w:b/>
          <w:bCs/>
          <w:color w:val="000000" w:themeColor="text1"/>
          <w14:textFill>
            <w14:solidFill>
              <w14:schemeClr w14:val="tx1"/>
            </w14:solidFill>
          </w14:textFill>
        </w:rPr>
        <w:t>畜禽养殖：生猪期价弱势反弹</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节后以来的压栏惜售和二次育肥带动生猪出栏体重同比上升，这意味着二季度供需改善幅度或受限。而从2024年1季度末生猪存栏继续环比下降来看，三季度供应阶段性下降或更为确定，这主要源于去年四季度非瘟疫情加上养殖户资金问题加速淘汰，仔猪价格1月以来加速上涨亦可印证。考虑到近月期价已转为贴水现货，表明其已转而反映现货回落预期，接下来需要关注现货走势，而在远月-近月价差持续走扩之后，远月期价升水或已经在一定程度上反映现货上涨预期。据此我们中期谨慎看多，短期维持中性观点，建议投资者观望为宜，前期月间价差套利可择机离场。</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从原料成本角度看，考虑到鸡蛋养殖利润因行业供需处于往年同期低位，饲料成本因素对鸡蛋养殖利润的影响或相对大于生猪，在这种情况下，需要特别留意饲料原料即豆粕和玉米上涨的持续性。考虑到现货已经下跌至养殖成本下方，带动养殖户淘汰积极性上升，期价亦在一定程度上反映供需宽松的预期。在这种情况下，近月合约更多关注现货与基差走势，远月合约则更多关注供需改善预期和季节性因素。我们维持中性观点，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7" w:name="_Toc13024"/>
      <w:r>
        <w:rPr>
          <w:rFonts w:hint="eastAsia" w:ascii="楷体" w:hAnsi="楷体" w:eastAsia="楷体"/>
          <w:b/>
          <w:bCs/>
          <w:color w:val="000000" w:themeColor="text1"/>
          <w14:textFill>
            <w14:solidFill>
              <w14:schemeClr w14:val="tx1"/>
            </w14:solidFill>
          </w14:textFill>
        </w:rPr>
        <w:t>白糖：天气因素再次炒作，糖价小幅反弹</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纽约ICE原糖5月合约上涨0.5%，结算价重回20美分/磅低位线，伦敦ICE白砂糖主连上涨0.26%。此次糖价上涨主要是近期天气因素释放利多信号，由于此前数月巴西异常干旱，USDA下调预估产量至6.45亿吨；泰国干燥天气没有结束迹象，甘蔗生长受影响，两大食糖主产国预期产量下降推动糖价上涨。但部分机构认为，巴西已到压榨阶段，天气干燥反而适合甘蔗压榨和食糖运输。市场多空观点并存，预计期价震荡运行。国内市场方面，昨日夜盘主力合约上涨0.10%，主要跟随外盘变动。但现货市场需求端在买涨不买跌的心理影响下，采购积极性有所减弱，食糖成交量减少。除此之外，目前国内基本面没有太多的新信号，大体还是跟随外盘运行。总体来说市场将震荡运行，建议投资者保持观望态度。</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8" w:name="_Toc11655"/>
      <w:r>
        <w:rPr>
          <w:rFonts w:hint="eastAsia" w:ascii="楷体" w:hAnsi="楷体" w:eastAsia="楷体"/>
          <w:b/>
          <w:bCs/>
          <w:color w:val="000000" w:themeColor="text1"/>
          <w14:textFill>
            <w14:solidFill>
              <w14:schemeClr w14:val="tx1"/>
            </w14:solidFill>
          </w14:textFill>
        </w:rPr>
        <w:t>棉花：弱势运行，无利多驱动</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2号棉主力合约下跌0.99%，截止4月23日，2号棉合约库存为176977包，比上一交易日增加192包，库存压力仍存。除了供应端宽松状况影响棉价下行，油价下跌也压制棉价。由于全球对中东冲突的担忧有所缓解，原油价格下跌，油制产品聚酯的价格也相应下跌。作为棉花的替代品，聚酯价格下行给棉价施压，棉价被迫下调。国内市场方面，昨日夜盘主力合约下跌0.13%。根据棉花展望调研报告显示，近期需求端新订单较少，纺企仍随用随买。根据棉花周期运行规律，5月即将进入淡季，部分纺企有继续降低开机率的打算，需求弱的现状难以改善，棉价没有支撑继续下行探底，投资者可考虑持有空单。</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9" w:name="_Toc6763"/>
      <w:r>
        <w:rPr>
          <w:rFonts w:hint="eastAsia" w:ascii="Times New Roman" w:hAnsi="Times New Roman" w:eastAsia="楷体"/>
          <w:b/>
          <w:color w:val="823C0B"/>
          <w:sz w:val="30"/>
          <w:szCs w:val="30"/>
        </w:rPr>
        <w:t>[指数]</w:t>
      </w:r>
      <w:bookmarkEnd w:id="3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0" w:name="_Toc3492"/>
      <w:r>
        <w:rPr>
          <w:rFonts w:hint="eastAsia" w:ascii="Times New Roman" w:hAnsi="Times New Roman" w:eastAsia="楷体"/>
          <w:b/>
          <w:color w:val="000000" w:themeColor="text1"/>
          <w:sz w:val="24"/>
          <w:szCs w:val="24"/>
          <w14:textFill>
            <w14:solidFill>
              <w14:schemeClr w14:val="tx1"/>
            </w14:solidFill>
          </w14:textFill>
        </w:rPr>
        <w:t>集运指数（欧线）：5月提价临近多头情绪未减</w:t>
      </w:r>
      <w:bookmarkEnd w:id="4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4月22日盘后SCFIS欧线收于2134.85点，环比回落0.6%。4月19日公布SCFI数据的上海港出口至欧洲、地中海基本港市场运价（海运及海运附加费）为1971美元/TEU和3048美元/TEU，较上期分别下跌0%、1.3%。运价自3月中旬以来走势较为平稳，市场货量较为稳定，船舶平均舱位利用率保持在较高水平。</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近日已有MSC、马士基、达飞等多家航司宣布上调5月份欧线运价，提振市场情绪。未来关注点为5月份提价效果以及中东局势走向，近期交易风险较大，建议投资者交易保持观望。</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1" w:name="_Toc71212556"/>
      <w:bookmarkStart w:id="42" w:name="_Toc12779"/>
      <w:bookmarkStart w:id="43" w:name="_Toc19667"/>
      <w:bookmarkStart w:id="44" w:name="_Toc72481108"/>
      <w:bookmarkStart w:id="45" w:name="_Toc98426751"/>
      <w:r>
        <w:rPr>
          <w:rFonts w:ascii="Times New Roman" w:hAnsi="Times New Roman" w:eastAsia="楷体"/>
          <w:b/>
          <w:color w:val="411D05"/>
          <w:sz w:val="30"/>
          <w:szCs w:val="30"/>
        </w:rPr>
        <w:t>免责声明</w:t>
      </w:r>
      <w:bookmarkEnd w:id="41"/>
      <w:bookmarkEnd w:id="42"/>
      <w:bookmarkEnd w:id="43"/>
      <w:bookmarkEnd w:id="44"/>
      <w:bookmarkEnd w:id="4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2024年4月25日星期四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DB77106"/>
    <w:rsid w:val="0F662138"/>
    <w:rsid w:val="0F9B0CE9"/>
    <w:rsid w:val="0FF35275"/>
    <w:rsid w:val="100732C8"/>
    <w:rsid w:val="10DA6205"/>
    <w:rsid w:val="111441F0"/>
    <w:rsid w:val="113D3FD2"/>
    <w:rsid w:val="121F7D21"/>
    <w:rsid w:val="129B2E20"/>
    <w:rsid w:val="12AA5DF8"/>
    <w:rsid w:val="132A04C1"/>
    <w:rsid w:val="1330029C"/>
    <w:rsid w:val="134E6356"/>
    <w:rsid w:val="13AE24B4"/>
    <w:rsid w:val="15364A7C"/>
    <w:rsid w:val="15602ADB"/>
    <w:rsid w:val="15D52593"/>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B5089"/>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3CE5AF4"/>
    <w:rsid w:val="340E7198"/>
    <w:rsid w:val="34A75784"/>
    <w:rsid w:val="3581551C"/>
    <w:rsid w:val="35D65FDD"/>
    <w:rsid w:val="36C14F46"/>
    <w:rsid w:val="373F75CC"/>
    <w:rsid w:val="38F320AA"/>
    <w:rsid w:val="39584559"/>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EE419C"/>
    <w:rsid w:val="3EFE09FD"/>
    <w:rsid w:val="3F345DBE"/>
    <w:rsid w:val="40F15753"/>
    <w:rsid w:val="41F950F8"/>
    <w:rsid w:val="42EB3BA1"/>
    <w:rsid w:val="43F11831"/>
    <w:rsid w:val="43F63E0D"/>
    <w:rsid w:val="44092E2E"/>
    <w:rsid w:val="441077D2"/>
    <w:rsid w:val="44396064"/>
    <w:rsid w:val="459609D9"/>
    <w:rsid w:val="45A37566"/>
    <w:rsid w:val="45CF0A85"/>
    <w:rsid w:val="46194A11"/>
    <w:rsid w:val="461E2AF1"/>
    <w:rsid w:val="47752ACA"/>
    <w:rsid w:val="47C813F2"/>
    <w:rsid w:val="49BF13F0"/>
    <w:rsid w:val="49D75468"/>
    <w:rsid w:val="49E169F0"/>
    <w:rsid w:val="4A4A74EF"/>
    <w:rsid w:val="4A6F6249"/>
    <w:rsid w:val="4AB74C38"/>
    <w:rsid w:val="4B14426D"/>
    <w:rsid w:val="4B6224E5"/>
    <w:rsid w:val="4B8C4A56"/>
    <w:rsid w:val="4BF97936"/>
    <w:rsid w:val="4C457E30"/>
    <w:rsid w:val="4D2A3925"/>
    <w:rsid w:val="4DB20386"/>
    <w:rsid w:val="4DF02D90"/>
    <w:rsid w:val="4E665CB5"/>
    <w:rsid w:val="4FBA2B77"/>
    <w:rsid w:val="5005695E"/>
    <w:rsid w:val="50286811"/>
    <w:rsid w:val="51266B84"/>
    <w:rsid w:val="5191036A"/>
    <w:rsid w:val="546B5509"/>
    <w:rsid w:val="548642E9"/>
    <w:rsid w:val="54C12E33"/>
    <w:rsid w:val="55633225"/>
    <w:rsid w:val="56DD4D3A"/>
    <w:rsid w:val="57555A7B"/>
    <w:rsid w:val="5770382C"/>
    <w:rsid w:val="57846909"/>
    <w:rsid w:val="57CB522F"/>
    <w:rsid w:val="57F46FBE"/>
    <w:rsid w:val="58042686"/>
    <w:rsid w:val="58246D5D"/>
    <w:rsid w:val="58EC5960"/>
    <w:rsid w:val="59151C86"/>
    <w:rsid w:val="59C52328"/>
    <w:rsid w:val="5AD37D8A"/>
    <w:rsid w:val="5AF87BF9"/>
    <w:rsid w:val="5B906095"/>
    <w:rsid w:val="5BF60A75"/>
    <w:rsid w:val="5C9F2D01"/>
    <w:rsid w:val="5D3F3466"/>
    <w:rsid w:val="5D5617A6"/>
    <w:rsid w:val="5D716329"/>
    <w:rsid w:val="5EA23F15"/>
    <w:rsid w:val="5EA7685B"/>
    <w:rsid w:val="5ED40954"/>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B292599"/>
    <w:rsid w:val="6D9172E5"/>
    <w:rsid w:val="6E133456"/>
    <w:rsid w:val="6ECB7DD2"/>
    <w:rsid w:val="6F1E315D"/>
    <w:rsid w:val="6F79454F"/>
    <w:rsid w:val="6FE61065"/>
    <w:rsid w:val="70675779"/>
    <w:rsid w:val="712C7DE8"/>
    <w:rsid w:val="713E0334"/>
    <w:rsid w:val="716F5E64"/>
    <w:rsid w:val="72417AFE"/>
    <w:rsid w:val="729B5F03"/>
    <w:rsid w:val="72D92B78"/>
    <w:rsid w:val="72F62A89"/>
    <w:rsid w:val="731B289D"/>
    <w:rsid w:val="737357AF"/>
    <w:rsid w:val="74163BE4"/>
    <w:rsid w:val="74A928A6"/>
    <w:rsid w:val="75292EAC"/>
    <w:rsid w:val="755A5FEF"/>
    <w:rsid w:val="75775016"/>
    <w:rsid w:val="758E0106"/>
    <w:rsid w:val="7626762C"/>
    <w:rsid w:val="778F5135"/>
    <w:rsid w:val="77B53D6B"/>
    <w:rsid w:val="77D54B08"/>
    <w:rsid w:val="784F7772"/>
    <w:rsid w:val="78713929"/>
    <w:rsid w:val="78E55995"/>
    <w:rsid w:val="79267C0B"/>
    <w:rsid w:val="79C90FB7"/>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6408</Words>
  <Characters>6911</Characters>
  <Lines>80</Lines>
  <Paragraphs>22</Paragraphs>
  <TotalTime>0</TotalTime>
  <ScaleCrop>false</ScaleCrop>
  <LinksUpToDate>false</LinksUpToDate>
  <CharactersWithSpaces>6951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2024-04-25T02:14:48Z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