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bookmarkStart w:id="46" w:name="_GoBack"/>
      <w:r>
        <w:rPr>
          <w:rFonts w:ascii="Times New Roman" w:hAnsi="Times New Roman" w:eastAsia="楷体" w:cs="Times New Roman"/>
          <w:b/>
          <w:color w:val="823C0B"/>
          <w:sz w:val="32"/>
          <w:szCs w:val="32"/>
        </w:rPr>
        <w:t>广州期货早间直通车</w:t>
      </w:r>
    </w:p>
    <w:bookmarkEnd w:id="46"/>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_Toc23908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_Toc17821 </w:instrText>
          </w:r>
          <w:r>
            <w:rPr>
              <w:bCs/>
            </w:rPr>
            <w:fldChar w:fldCharType="separate"/>
          </w:r>
          <w:r>
            <w:rPr>
              <w:rFonts w:hint="eastAsia" w:ascii="Times New Roman" w:hAnsi="Times New Roman" w:eastAsia="楷体"/>
              <w:szCs w:val="24"/>
            </w:rPr>
            <w:t>股指：五一假期前，维持相对防御思维</w:t>
          </w:r>
          <w:r>
            <w:rPr>
              <w:bCs/>
            </w:rPr>
            <w:fldChar w:fldCharType="end"/>
          </w:r>
        </w:p>
        <w:p>
          <w:pPr>
            <w:pStyle w:val="59"/>
            <w:tabs>
              <w:tab w:val="right" w:leader="dot" w:pos="8306"/>
            </w:tabs>
          </w:pPr>
          <w:r>
            <w:rPr>
              <w:bCs/>
            </w:rPr>
            <w:fldChar w:fldCharType="begin"/>
          </w:r>
          <w:r>
            <w:rPr>
              <w:bCs/>
            </w:rPr>
            <w:instrText xml:space="preserve"> HYPERLINK \l _Toc17650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_Toc18600 </w:instrText>
          </w:r>
          <w:r>
            <w:rPr>
              <w:bCs/>
            </w:rPr>
            <w:fldChar w:fldCharType="separate"/>
          </w:r>
          <w:r>
            <w:rPr>
              <w:rFonts w:hint="eastAsia" w:ascii="Times New Roman" w:hAnsi="Times New Roman" w:eastAsia="楷体"/>
              <w:szCs w:val="24"/>
            </w:rPr>
            <w:t>贵金属：美国4月标普PMI弱于预期，贵金属价格低位小幅反弹</w:t>
          </w:r>
          <w:r>
            <w:rPr>
              <w:bCs/>
            </w:rPr>
            <w:fldChar w:fldCharType="end"/>
          </w:r>
        </w:p>
        <w:p>
          <w:pPr>
            <w:pStyle w:val="59"/>
            <w:tabs>
              <w:tab w:val="right" w:leader="dot" w:pos="8306"/>
            </w:tabs>
          </w:pPr>
          <w:r>
            <w:rPr>
              <w:bCs/>
            </w:rPr>
            <w:fldChar w:fldCharType="begin"/>
          </w:r>
          <w:r>
            <w:rPr>
              <w:bCs/>
            </w:rPr>
            <w:instrText xml:space="preserve"> HYPERLINK \l _Toc31577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_Toc8442 </w:instrText>
          </w:r>
          <w:r>
            <w:rPr>
              <w:bCs/>
            </w:rPr>
            <w:fldChar w:fldCharType="separate"/>
          </w:r>
          <w:r>
            <w:rPr>
              <w:rFonts w:hint="eastAsia" w:ascii="楷体" w:hAnsi="楷体" w:eastAsia="楷体"/>
              <w:szCs w:val="24"/>
            </w:rPr>
            <w:t>碳酸锂：期价窄幅震荡，主力合约微涨</w:t>
          </w:r>
          <w:r>
            <w:rPr>
              <w:bCs/>
            </w:rPr>
            <w:fldChar w:fldCharType="end"/>
          </w:r>
        </w:p>
        <w:p>
          <w:pPr>
            <w:pStyle w:val="74"/>
            <w:tabs>
              <w:tab w:val="right" w:leader="dot" w:pos="8306"/>
            </w:tabs>
          </w:pPr>
          <w:r>
            <w:rPr>
              <w:bCs/>
            </w:rPr>
            <w:fldChar w:fldCharType="begin"/>
          </w:r>
          <w:r>
            <w:rPr>
              <w:bCs/>
            </w:rPr>
            <w:instrText xml:space="preserve"> HYPERLINK \l _Toc20842 </w:instrText>
          </w:r>
          <w:r>
            <w:rPr>
              <w:bCs/>
            </w:rPr>
            <w:fldChar w:fldCharType="separate"/>
          </w:r>
          <w:r>
            <w:rPr>
              <w:rFonts w:hint="eastAsia" w:ascii="楷体" w:hAnsi="楷体" w:eastAsia="楷体"/>
              <w:szCs w:val="24"/>
            </w:rPr>
            <w:t>铜：短期价格高位僵持，继续关注资金动态</w:t>
          </w:r>
          <w:r>
            <w:rPr>
              <w:bCs/>
            </w:rPr>
            <w:fldChar w:fldCharType="end"/>
          </w:r>
        </w:p>
        <w:p>
          <w:pPr>
            <w:pStyle w:val="74"/>
            <w:tabs>
              <w:tab w:val="right" w:leader="dot" w:pos="8306"/>
            </w:tabs>
          </w:pPr>
          <w:r>
            <w:rPr>
              <w:bCs/>
            </w:rPr>
            <w:fldChar w:fldCharType="begin"/>
          </w:r>
          <w:r>
            <w:rPr>
              <w:bCs/>
            </w:rPr>
            <w:instrText xml:space="preserve"> HYPERLINK \l _Toc3278 </w:instrText>
          </w:r>
          <w:r>
            <w:rPr>
              <w:bCs/>
            </w:rPr>
            <w:fldChar w:fldCharType="separate"/>
          </w:r>
          <w:r>
            <w:rPr>
              <w:rFonts w:hint="eastAsia" w:ascii="楷体" w:hAnsi="楷体" w:eastAsia="楷体"/>
              <w:szCs w:val="24"/>
            </w:rPr>
            <w:t>铝：铝价重心上移，构建新震荡平台</w:t>
          </w:r>
          <w:r>
            <w:rPr>
              <w:bCs/>
            </w:rPr>
            <w:fldChar w:fldCharType="end"/>
          </w:r>
        </w:p>
        <w:p>
          <w:pPr>
            <w:pStyle w:val="74"/>
            <w:tabs>
              <w:tab w:val="right" w:leader="dot" w:pos="8306"/>
            </w:tabs>
          </w:pPr>
          <w:r>
            <w:rPr>
              <w:bCs/>
            </w:rPr>
            <w:fldChar w:fldCharType="begin"/>
          </w:r>
          <w:r>
            <w:rPr>
              <w:bCs/>
            </w:rPr>
            <w:instrText xml:space="preserve"> HYPERLINK \l _Toc8827 </w:instrText>
          </w:r>
          <w:r>
            <w:rPr>
              <w:bCs/>
            </w:rPr>
            <w:fldChar w:fldCharType="separate"/>
          </w:r>
          <w:r>
            <w:rPr>
              <w:rFonts w:hint="eastAsia" w:ascii="楷体" w:hAnsi="楷体" w:eastAsia="楷体"/>
              <w:szCs w:val="24"/>
            </w:rPr>
            <w:t>锌：锌价高位区间震荡，上下驱动有限</w:t>
          </w:r>
          <w:r>
            <w:rPr>
              <w:bCs/>
            </w:rPr>
            <w:fldChar w:fldCharType="end"/>
          </w:r>
        </w:p>
        <w:p>
          <w:pPr>
            <w:pStyle w:val="74"/>
            <w:tabs>
              <w:tab w:val="right" w:leader="dot" w:pos="8306"/>
            </w:tabs>
          </w:pPr>
          <w:r>
            <w:rPr>
              <w:bCs/>
            </w:rPr>
            <w:fldChar w:fldCharType="begin"/>
          </w:r>
          <w:r>
            <w:rPr>
              <w:bCs/>
            </w:rPr>
            <w:instrText xml:space="preserve"> HYPERLINK \l _Toc16412 </w:instrText>
          </w:r>
          <w:r>
            <w:rPr>
              <w:bCs/>
            </w:rPr>
            <w:fldChar w:fldCharType="separate"/>
          </w:r>
          <w:r>
            <w:rPr>
              <w:rFonts w:hint="eastAsia" w:ascii="楷体" w:hAnsi="楷体" w:eastAsia="楷体"/>
              <w:szCs w:val="24"/>
            </w:rPr>
            <w:t>镍：短期镍价承压运行</w:t>
          </w:r>
          <w:r>
            <w:rPr>
              <w:bCs/>
            </w:rPr>
            <w:fldChar w:fldCharType="end"/>
          </w:r>
        </w:p>
        <w:p>
          <w:pPr>
            <w:pStyle w:val="74"/>
            <w:tabs>
              <w:tab w:val="right" w:leader="dot" w:pos="8306"/>
            </w:tabs>
          </w:pPr>
          <w:r>
            <w:rPr>
              <w:bCs/>
            </w:rPr>
            <w:fldChar w:fldCharType="begin"/>
          </w:r>
          <w:r>
            <w:rPr>
              <w:bCs/>
            </w:rPr>
            <w:instrText xml:space="preserve"> HYPERLINK \l _Toc26797 </w:instrText>
          </w:r>
          <w:r>
            <w:rPr>
              <w:bCs/>
            </w:rPr>
            <w:fldChar w:fldCharType="separate"/>
          </w:r>
          <w:r>
            <w:rPr>
              <w:rFonts w:hint="eastAsia" w:ascii="楷体" w:hAnsi="楷体" w:eastAsia="楷体"/>
              <w:szCs w:val="24"/>
            </w:rPr>
            <w:t>不锈钢：短期有成本支撑，但供需压力犹存</w:t>
          </w:r>
          <w:r>
            <w:rPr>
              <w:bCs/>
            </w:rPr>
            <w:fldChar w:fldCharType="end"/>
          </w:r>
        </w:p>
        <w:p>
          <w:pPr>
            <w:pStyle w:val="74"/>
            <w:tabs>
              <w:tab w:val="right" w:leader="dot" w:pos="8306"/>
            </w:tabs>
          </w:pPr>
          <w:r>
            <w:rPr>
              <w:bCs/>
            </w:rPr>
            <w:fldChar w:fldCharType="begin"/>
          </w:r>
          <w:r>
            <w:rPr>
              <w:bCs/>
            </w:rPr>
            <w:instrText xml:space="preserve"> HYPERLINK \l _Toc21064 </w:instrText>
          </w:r>
          <w:r>
            <w:rPr>
              <w:bCs/>
            </w:rPr>
            <w:fldChar w:fldCharType="separate"/>
          </w:r>
          <w:r>
            <w:rPr>
              <w:rFonts w:hint="eastAsia" w:ascii="楷体" w:hAnsi="楷体" w:eastAsia="楷体"/>
              <w:szCs w:val="24"/>
            </w:rPr>
            <w:t>工业硅：下游阶段性补库，盘面有所反弹</w:t>
          </w:r>
          <w:r>
            <w:rPr>
              <w:bCs/>
            </w:rPr>
            <w:fldChar w:fldCharType="end"/>
          </w:r>
        </w:p>
        <w:p>
          <w:pPr>
            <w:pStyle w:val="59"/>
            <w:tabs>
              <w:tab w:val="right" w:leader="dot" w:pos="8306"/>
            </w:tabs>
          </w:pPr>
          <w:r>
            <w:rPr>
              <w:bCs/>
            </w:rPr>
            <w:fldChar w:fldCharType="begin"/>
          </w:r>
          <w:r>
            <w:rPr>
              <w:bCs/>
            </w:rPr>
            <w:instrText xml:space="preserve"> HYPERLINK \l _Toc29825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_Toc5615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抛储消息与泰国开割并存 天胶短期或偏弱整理</w:t>
          </w:r>
          <w:r>
            <w:rPr>
              <w:bCs/>
            </w:rPr>
            <w:fldChar w:fldCharType="end"/>
          </w:r>
        </w:p>
        <w:p>
          <w:pPr>
            <w:pStyle w:val="74"/>
            <w:tabs>
              <w:tab w:val="right" w:leader="dot" w:pos="8306"/>
            </w:tabs>
          </w:pPr>
          <w:r>
            <w:rPr>
              <w:bCs/>
            </w:rPr>
            <w:fldChar w:fldCharType="begin"/>
          </w:r>
          <w:r>
            <w:rPr>
              <w:bCs/>
            </w:rPr>
            <w:instrText xml:space="preserve"> HYPERLINK \l _Toc27081 </w:instrText>
          </w:r>
          <w:r>
            <w:rPr>
              <w:bCs/>
            </w:rPr>
            <w:fldChar w:fldCharType="separate"/>
          </w:r>
          <w:r>
            <w:rPr>
              <w:rFonts w:hint="eastAsia" w:ascii="楷体" w:hAnsi="楷体" w:eastAsia="楷体"/>
              <w:szCs w:val="24"/>
            </w:rPr>
            <w:t>聚烯烃：供需双弱 聚烯烃或向下调整为主</w:t>
          </w:r>
          <w:r>
            <w:rPr>
              <w:bCs/>
            </w:rPr>
            <w:fldChar w:fldCharType="end"/>
          </w:r>
        </w:p>
        <w:p>
          <w:pPr>
            <w:pStyle w:val="74"/>
            <w:tabs>
              <w:tab w:val="right" w:leader="dot" w:pos="8306"/>
            </w:tabs>
          </w:pPr>
          <w:r>
            <w:rPr>
              <w:bCs/>
            </w:rPr>
            <w:fldChar w:fldCharType="begin"/>
          </w:r>
          <w:r>
            <w:rPr>
              <w:bCs/>
            </w:rPr>
            <w:instrText xml:space="preserve"> HYPERLINK \l _Toc5247 </w:instrText>
          </w:r>
          <w:r>
            <w:rPr>
              <w:bCs/>
            </w:rPr>
            <w:fldChar w:fldCharType="separate"/>
          </w:r>
          <w:r>
            <w:rPr>
              <w:rFonts w:hint="eastAsia" w:ascii="楷体" w:hAnsi="楷体" w:eastAsia="楷体"/>
              <w:szCs w:val="24"/>
            </w:rPr>
            <w:t>玻璃：基本面偏弱，预期偏强</w:t>
          </w:r>
          <w:r>
            <w:rPr>
              <w:bCs/>
            </w:rPr>
            <w:fldChar w:fldCharType="end"/>
          </w:r>
        </w:p>
        <w:p>
          <w:pPr>
            <w:pStyle w:val="74"/>
            <w:tabs>
              <w:tab w:val="right" w:leader="dot" w:pos="8306"/>
            </w:tabs>
          </w:pPr>
          <w:r>
            <w:rPr>
              <w:bCs/>
            </w:rPr>
            <w:fldChar w:fldCharType="begin"/>
          </w:r>
          <w:r>
            <w:rPr>
              <w:bCs/>
            </w:rPr>
            <w:instrText xml:space="preserve"> HYPERLINK \l _Toc30079 </w:instrText>
          </w:r>
          <w:r>
            <w:rPr>
              <w:bCs/>
            </w:rPr>
            <w:fldChar w:fldCharType="separate"/>
          </w:r>
          <w:r>
            <w:rPr>
              <w:rFonts w:hint="eastAsia" w:ascii="楷体" w:hAnsi="楷体" w:eastAsia="楷体"/>
              <w:szCs w:val="24"/>
            </w:rPr>
            <w:t>纯碱：现货成交边际走弱，多空博弈加剧</w:t>
          </w:r>
          <w:r>
            <w:rPr>
              <w:bCs/>
            </w:rPr>
            <w:fldChar w:fldCharType="end"/>
          </w:r>
        </w:p>
        <w:p>
          <w:pPr>
            <w:pStyle w:val="59"/>
            <w:tabs>
              <w:tab w:val="right" w:leader="dot" w:pos="8306"/>
            </w:tabs>
          </w:pPr>
          <w:r>
            <w:rPr>
              <w:bCs/>
            </w:rPr>
            <w:fldChar w:fldCharType="begin"/>
          </w:r>
          <w:r>
            <w:rPr>
              <w:bCs/>
            </w:rPr>
            <w:instrText xml:space="preserve"> HYPERLINK \l _Toc29509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_Toc2832 </w:instrText>
          </w:r>
          <w:r>
            <w:rPr>
              <w:bCs/>
            </w:rPr>
            <w:fldChar w:fldCharType="separate"/>
          </w:r>
          <w:r>
            <w:rPr>
              <w:rFonts w:hint="eastAsia" w:ascii="楷体" w:hAnsi="楷体" w:eastAsia="楷体"/>
              <w:bCs/>
            </w:rPr>
            <w:t>玉米与淀粉：</w:t>
          </w:r>
          <w:r>
            <w:rPr>
              <w:rFonts w:hint="eastAsia" w:ascii="楷体" w:hAnsi="楷体" w:eastAsia="楷体"/>
            </w:rPr>
            <w:t>期价震荡略偏强运行</w:t>
          </w:r>
          <w:r>
            <w:rPr>
              <w:bCs/>
            </w:rPr>
            <w:fldChar w:fldCharType="end"/>
          </w:r>
        </w:p>
        <w:p>
          <w:pPr>
            <w:pStyle w:val="74"/>
            <w:tabs>
              <w:tab w:val="right" w:leader="dot" w:pos="8306"/>
            </w:tabs>
          </w:pPr>
          <w:r>
            <w:rPr>
              <w:bCs/>
            </w:rPr>
            <w:fldChar w:fldCharType="begin"/>
          </w:r>
          <w:r>
            <w:rPr>
              <w:bCs/>
            </w:rPr>
            <w:instrText xml:space="preserve"> HYPERLINK \l _Toc30216 </w:instrText>
          </w:r>
          <w:r>
            <w:rPr>
              <w:bCs/>
            </w:rPr>
            <w:fldChar w:fldCharType="separate"/>
          </w:r>
          <w:r>
            <w:rPr>
              <w:rFonts w:hint="eastAsia" w:ascii="楷体" w:hAnsi="楷体" w:eastAsia="楷体"/>
              <w:bCs/>
            </w:rPr>
            <w:t>畜禽养殖：期价延续弱势</w:t>
          </w:r>
          <w:r>
            <w:rPr>
              <w:bCs/>
            </w:rPr>
            <w:fldChar w:fldCharType="end"/>
          </w:r>
        </w:p>
        <w:p>
          <w:pPr>
            <w:pStyle w:val="74"/>
            <w:tabs>
              <w:tab w:val="right" w:leader="dot" w:pos="8306"/>
            </w:tabs>
          </w:pPr>
          <w:r>
            <w:rPr>
              <w:bCs/>
            </w:rPr>
            <w:fldChar w:fldCharType="begin"/>
          </w:r>
          <w:r>
            <w:rPr>
              <w:bCs/>
            </w:rPr>
            <w:instrText xml:space="preserve"> HYPERLINK \l _Toc11531 </w:instrText>
          </w:r>
          <w:r>
            <w:rPr>
              <w:bCs/>
            </w:rPr>
            <w:fldChar w:fldCharType="separate"/>
          </w:r>
          <w:r>
            <w:rPr>
              <w:rFonts w:hint="eastAsia" w:ascii="楷体" w:hAnsi="楷体" w:eastAsia="楷体"/>
              <w:bCs/>
            </w:rPr>
            <w:t>白糖：内外走势分化，期价震荡运行</w:t>
          </w:r>
          <w:r>
            <w:rPr>
              <w:bCs/>
            </w:rPr>
            <w:fldChar w:fldCharType="end"/>
          </w:r>
        </w:p>
        <w:p>
          <w:pPr>
            <w:pStyle w:val="74"/>
            <w:tabs>
              <w:tab w:val="right" w:leader="dot" w:pos="8306"/>
            </w:tabs>
          </w:pPr>
          <w:r>
            <w:rPr>
              <w:bCs/>
            </w:rPr>
            <w:fldChar w:fldCharType="begin"/>
          </w:r>
          <w:r>
            <w:rPr>
              <w:bCs/>
            </w:rPr>
            <w:instrText xml:space="preserve"> HYPERLINK \l _Toc13169 </w:instrText>
          </w:r>
          <w:r>
            <w:rPr>
              <w:bCs/>
            </w:rPr>
            <w:fldChar w:fldCharType="separate"/>
          </w:r>
          <w:r>
            <w:rPr>
              <w:rFonts w:hint="eastAsia" w:ascii="楷体" w:hAnsi="楷体" w:eastAsia="楷体"/>
              <w:bCs/>
            </w:rPr>
            <w:t>棉花：需求不旺，价格下方无支撑</w:t>
          </w:r>
          <w:r>
            <w:rPr>
              <w:bCs/>
            </w:rPr>
            <w:fldChar w:fldCharType="end"/>
          </w:r>
        </w:p>
        <w:p>
          <w:pPr>
            <w:pStyle w:val="59"/>
            <w:tabs>
              <w:tab w:val="right" w:leader="dot" w:pos="8306"/>
            </w:tabs>
          </w:pPr>
          <w:r>
            <w:rPr>
              <w:bCs/>
            </w:rPr>
            <w:fldChar w:fldCharType="begin"/>
          </w:r>
          <w:r>
            <w:rPr>
              <w:bCs/>
            </w:rPr>
            <w:instrText xml:space="preserve"> HYPERLINK \l _Toc9314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_Toc29139 </w:instrText>
          </w:r>
          <w:r>
            <w:rPr>
              <w:bCs/>
            </w:rPr>
            <w:fldChar w:fldCharType="separate"/>
          </w:r>
          <w:r>
            <w:rPr>
              <w:rFonts w:hint="eastAsia" w:ascii="Times New Roman" w:hAnsi="Times New Roman" w:eastAsia="楷体"/>
              <w:szCs w:val="24"/>
            </w:rPr>
            <w:t>集运指数（欧线）：情绪降温期市价格稍有回落，后市需谨慎观察</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390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782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五一假期前，维持相对防御思维</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临近业绩期尾声，绩差公司在强监管易出现业绩扎堆暴雷风险，与此同时红利和黄金资产进入了短期的“超买”区，止盈盘需求明显，市场持续缩量，上攻动能或出现整体性衰竭，建议五一假期前，维持相对防御思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65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8600"/>
      <w:r>
        <w:rPr>
          <w:rFonts w:hint="eastAsia" w:ascii="Times New Roman" w:hAnsi="Times New Roman" w:eastAsia="楷体"/>
          <w:b/>
          <w:color w:val="000000" w:themeColor="text1"/>
          <w:sz w:val="24"/>
          <w:szCs w:val="24"/>
          <w14:textFill>
            <w14:solidFill>
              <w14:schemeClr w14:val="tx1"/>
            </w14:solidFill>
          </w14:textFill>
        </w:rPr>
        <w:t>贵金属：美国4月标普PMI弱于预期，贵金属价格低位小幅反弹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0.20%至551.70元/克，沪银涨0.30%至7085元/千克。美国4月标普制造业PMI初值49.9，预期52.0，3月终值51.9；服务业PMI初值50.9，预期52.0，3月终值51.7；综合PMI初值50.9，预期52.0，3月终值56.7。欧元区4月制造业PMI初值45.6，预期46.6，3月终值46.1；服务业PMI初值52.9，预期51.8，3月终值51.5；综合PMI初值51.4，预期50.7，3月终值50.3。欧洲央行副行长金多斯表示，抗通胀斗争即将结束，最大的潜在威胁来自服务业通胀；如果没有意外，6月降息看起来已经达成一致。欧洲央行管委内格尔表示，如果新的预测和最新数据证实通胀增速将回到2%，欧洲央行可以考虑降息。部分前期多单在高位止盈离场后，随着降息预期的修正以及避险情绪的缓和，金价短期内留意回调风险；银价留意6930左右的均线支撑。地缘政治冲突等不确定性较强，后续持续关注相关事件发展，建议谨慎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3157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844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碳酸锂：期价窄幅震荡，主力合约微涨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窄幅震荡，07合约涨0.14%至109150元/吨，多数月份合约小幅收跌。3月国内进口碳酸锂约19043吨，环比增64%，同比增9%，其中从智利进口碳酸锂约16297吨，从阿根廷进口约2494吨。据乘联会数据，2024年1-3月动力电池装车率下降至46%，电池产量高于装车增速。SMM预计4月锂辉石端碳酸锂产量环比增约16%，锂辉石价格维持稳定。碳酸锂现货货源紧张的情况有所缓解，上游企业维持挺价情绪，部分下游企业逢低价采购提前为五月需求进行备库，上下游博弈期间期价短期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20842"/>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短期价格高位僵持，继续关注资金动态</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(1)宏观：美国4月Markit制造业PMI初值49.9，创4个月新低；美国4月Markit服务业PMI初值50.9，创5个月新低；美国4月Markit综合PMI初值50.9，创4个月新低。</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(2)库存：4月23日，SHFE仓单库存220990吨，减14135吨；LME仓单库存120600吨，减600吨。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(3)精废价差：4月23日，Mysteel精废价差3176，收窄1140。目前价差在合理价差1484之上。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制造业数据走弱，海外再通胀交易受到挑战，叠加黄金价格近日大跌，沪铜持仓量有所下调，部分做多资金抽离，基本面，国内冶炼厂陆续进入检修期供应减少，加之近期冶炼厂出口增多带动国内库存开始去化，但高价仍压制下游消费，现货贴水维持高位。综合而言，短期利空仍有限，铜价高位或僵持，继续关注资金动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3278"/>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铝价重心上移，构建新震荡平台</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有色金属价格集体回调，伦铝相对表现坚挺，基本面上看，矿端供应依旧偏紧，氧化铝前期因安全环保原因减产的产能复产节奏难达预期，云南神火计划复产电解铝产能90万吨，给予市场较强供应增产信号，预计二季度电解铝冶炼产能会出现明显增长，实际供应端受上游量价限制影响可 视增量相对有限。需求端在旺季有明显修复，传统消费有所拖累但新兴消费支撑需求走强，国内对外出口订单量增长，海内外库存去库，铝价震荡中枢上移，参考震荡区间19500-22000，短期价格高位回落，建议回调后参与低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8827"/>
      <w:r>
        <w:rPr>
          <w:rFonts w:hint="eastAsia" w:ascii="楷体" w:hAnsi="楷体" w:eastAsia="楷体"/>
          <w:b/>
          <w:color w:val="000000" w:themeColor="text1"/>
          <w:sz w:val="24"/>
          <w:szCs w:val="24"/>
          <w14:textFill>
            <w14:solidFill>
              <w14:schemeClr w14:val="tx1"/>
            </w14:solidFill>
          </w14:textFill>
        </w:rPr>
        <w:t>锌：锌价高位区间震荡，上下驱动有限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伦锌下行幅度较大带动沪锌走弱，市场多头资金假期前获利了结，国内基本面供需两弱，供应端矿端紧缺格局保持，市场可流动货物偏紧，冶炼厂产量受上游限制提升有限，冶炼利润负反馈引发市场供应减产猜测，海外需求有提振预期，国内下游需求指向终端消费有所拖累，库存绝对位置偏高，临近假期库存去库节奏缓慢，下游备货情绪积性不高。整体上看，锌价保持高位震荡，参考震荡区间22000-23000，回调关注22000一线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6412"/>
      <w:r>
        <w:rPr>
          <w:rFonts w:hint="eastAsia" w:ascii="楷体" w:hAnsi="楷体" w:eastAsia="楷体"/>
          <w:b/>
          <w:color w:val="000000" w:themeColor="text1"/>
          <w:sz w:val="24"/>
          <w:szCs w:val="24"/>
          <w14:textFill>
            <w14:solidFill>
              <w14:schemeClr w14:val="tx1"/>
            </w14:solidFill>
          </w14:textFill>
        </w:rPr>
        <w:t>镍：短期镍价承压运行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地缘冲突缓解，宏观情绪对有色板块的利多作用减弱。矿端，印尼镍矿现货偏紧，因此价格持稳。原料方面，近日硫酸镍价格持稳，主要在于下游备货需求仍存，但随着MHP及硫酸镍供应增加，预计电积镍成本支撑存在下跌空间。需求方面，新能源汽车需求增量主要体现在经济性较好的磷酸铁锂电池，近期三元正极终端需求放增速较慢，多家三元材料企业亏损以促进出货；不锈钢厂利润空间尚可，排产维持高位。供应端，精炼镍产能持续释放。综合而言，由于供应过剩格局及印尼镍矿扰动已被市场充分交易，目前镍基本面矛盾相对来说并不突出，短期镍价的运行逻辑主要跟随宏观扰动，在宏观情绪边际降温，及基本面偏弱情况下，镍价承压运行，持续关注宏观扰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6797"/>
      <w:r>
        <w:rPr>
          <w:rFonts w:hint="eastAsia" w:ascii="楷体" w:hAnsi="楷体" w:eastAsia="楷体"/>
          <w:b/>
          <w:color w:val="000000" w:themeColor="text1"/>
          <w:sz w:val="24"/>
          <w:szCs w:val="24"/>
          <w14:textFill>
            <w14:solidFill>
              <w14:schemeClr w14:val="tx1"/>
            </w14:solidFill>
          </w14:textFill>
        </w:rPr>
        <w:t>不锈钢：短期有成本支撑，但供需压力犹存</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有色板块利多情绪有所降温。镍铁端，由于市场传言镍铁收储3万吨左右，加上不锈钢厂存有采购需求，近日镍铁价格上涨，据Mysteel调研，4月22日，高镍铁最新采购价990元/镍（到厂含税），成交近万吨，交期7月。需求方面，近期下游成交氛围整体有所好转，五一假期将至，下游或有备货动作，但房地产及基建等终端领域表现仍然低迷，预计节后需求动力依旧疲弱。供应方面，由于目前产业利润尚可，不锈钢厂维持高位排产，其供需矛盾或将愈发凸显。库存方面，据Mysteel统计，上周不锈钢社会库存略有去库，但仍高于去年同期水平，仓单库存仍处于历史新高附近。综合而言，在宏观情绪降温及供需矛盾凸显的情况下，短期不锈钢价格或有回调，不过考虑到原料价格上涨、五一前后下游或有一定程度的补库需求释放，短期价格存在支撑，关注13500-13600元/吨支撑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106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下游阶段性补库，盘面有所反弹</w:t>
      </w:r>
      <w:bookmarkEnd w:id="27"/>
    </w:p>
    <w:p>
      <w:pPr>
        <w:ind w:left="630" w:leftChars="300"/>
        <w:rPr>
          <w:rFonts w:ascii="楷体" w:hAnsi="楷体" w:eastAsia="楷体"/>
          <w:sz w:val="24"/>
          <w:szCs w:val="24"/>
        </w:rPr>
      </w:pPr>
      <w:r>
        <w:rPr>
          <w:rFonts w:hint="eastAsia" w:ascii="楷体" w:hAnsi="楷体" w:eastAsia="楷体"/>
          <w:sz w:val="24"/>
          <w:szCs w:val="24"/>
        </w:rPr>
        <w:t>4月23日，Si2406主力合约呈冲高回落走势，收盘价11710元/吨，较上一收盘价涨跌幅+0.13%。近期，广期所调整工业硅交割规则，仓单存在贬值预期，叠加下游需求持续疲软，使得仓单库存压力提前有所显现，盘面整体承压下行。随着盘面价格下跌，仓单性价比有所提高，在下游粉厂开始节前备货情况下，使得仓单有所注销，但由于下游需求预期暂未出现明显改善，补库多以刚需采购为主，持续性仍有待验证。策略上，建议谨慎资金暂时观望，激进资金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29825"/>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561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抛储消息与泰国开割并存 天胶短期或偏弱整理</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有所去化。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抛储消息一出以及宋干节后泰国主产区进入开割期，短期天胶或震荡偏弱整理。但中长线依旧建议逢低做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7081"/>
      <w:r>
        <w:rPr>
          <w:rFonts w:hint="eastAsia" w:ascii="楷体" w:hAnsi="楷体" w:eastAsia="楷体"/>
          <w:b/>
          <w:color w:val="000000" w:themeColor="text1"/>
          <w:sz w:val="24"/>
          <w:szCs w:val="24"/>
          <w14:textFill>
            <w14:solidFill>
              <w14:schemeClr w14:val="tx1"/>
            </w14:solidFill>
          </w14:textFill>
        </w:rPr>
        <w:t>聚烯烃：供需双弱 聚烯烃或向下调整为主</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支撑波动较大，预计聚烯烃区间震荡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5247"/>
      <w:r>
        <w:rPr>
          <w:rFonts w:hint="eastAsia" w:ascii="楷体" w:hAnsi="楷体" w:eastAsia="楷体"/>
          <w:b/>
          <w:color w:val="000000" w:themeColor="text1"/>
          <w:sz w:val="24"/>
          <w:szCs w:val="24"/>
          <w14:textFill>
            <w14:solidFill>
              <w14:schemeClr w14:val="tx1"/>
            </w14:solidFill>
          </w14:textFill>
        </w:rPr>
        <w:t>玻璃：基本面偏弱，预期偏强</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4月23日报道：今日浮法玻璃现货价格1713元/吨，较上一交易日-10元/吨。供给上，日熔量17.43万吨/天，较上周冷修一条产线。库存上，截止到20240418，全国浮法玻璃样本企业总库存5919.6万重箱，环比-117.8万重箱，环比-1.95%。折库存天数24.4天，较上期-0.4天。现货端，各地区继续降价促销，产线表现一般。总体来看，基本面偏弱，现货层面补库情绪走弱。盘面上，周末受工业品整体情绪影响，期价反弹，但现货层面的较弱抑制反弹高度。短线情绪偏强，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30079"/>
      <w:r>
        <w:rPr>
          <w:rFonts w:hint="eastAsia" w:ascii="楷体" w:hAnsi="楷体" w:eastAsia="楷体"/>
          <w:b/>
          <w:color w:val="000000" w:themeColor="text1"/>
          <w:sz w:val="24"/>
          <w:szCs w:val="24"/>
          <w14:textFill>
            <w14:solidFill>
              <w14:schemeClr w14:val="tx1"/>
            </w14:solidFill>
          </w14:textFill>
        </w:rPr>
        <w:t>纯碱：现货成交边际走弱，多空博弈加剧</w:t>
      </w:r>
      <w:bookmarkEnd w:id="3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周一纯碱现货报价普遍上涨100-150元/吨，华中重碱报价在2000-2100元/吨左右，较上周+100-150元/吨，轻碱报价较前期涨100元/吨，约在1950元/吨附近。从供给端来看，隆众资讯4月18日报道：周内纯碱产量71.37万吨，涨幅1.06%，纯碱开工率85.61%，环比增加0.90%，检修量超预期。从库存上看，截止到2024年4月22日，本周国内纯碱厂家总库存87.30万吨，环比上周四减少1.79万吨，跌幅2.01%。其中，轻质库存35.87万吨，重质库存51.43万吨。需求端表现平稳，轻碱订单较好，重碱表现一般，节前适量补库，低价产销较好。盘面上，上周检修略超预期，期价大幅反弹，商品涨价情绪与市场炒作夏季检修形成共振，期价带动现货上涨，碱厂周末封单涨价配合收敛基差，周一现货快速涨价后，下游观望情绪变强，现货成交走弱，操作上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9509"/>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283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期价震荡略偏强运行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现货持续分化运行，东北产区相对坚挺，因国家收储支撑，加上当地深加工与饲料企业库存相对偏低，而华北与南方销区持续弱势，甚至创出新低，前者主要源于余粮与新麦上市压力，后者主要源于进口谷物库存依然充裕，现货表现分化引发市场对于后期玉米定价权与定价区间的分歧，导致期价陷入涨跌两难的境地，即下方有支撑，上涨缺乏驱动。我们基于年度产需缺口判断维持谨慎看多观点，接下来重点关注华北小麦产量前景、华北玉米销售进度及其南方港口谷物特别是内外贸玉米库存变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在前期因行业供需宽松背景下的原料成本因素带动淀粉-玉米价差持续收窄之后，近期价差整体震荡反弹，主要原因有二，其一是随着华北玉米余粮的消耗，后期华北-东北玉米价差有走扩的可能性；其二是市场担心期现货生产利润下滑之后，行业开机率有望趋于下滑，继而带来行业供需的改善。但考虑到原料端与供需端形势尚不明朗，价差方向仍存在较大的不确定性。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30216"/>
      <w:r>
        <w:rPr>
          <w:rFonts w:hint="eastAsia" w:ascii="楷体" w:hAnsi="楷体" w:eastAsia="楷体"/>
          <w:b/>
          <w:bCs/>
          <w:color w:val="000000" w:themeColor="text1"/>
          <w14:textFill>
            <w14:solidFill>
              <w14:schemeClr w14:val="tx1"/>
            </w14:solidFill>
          </w14:textFill>
        </w:rPr>
        <w:t>畜禽养殖：期价延续弱势</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考虑到近月期价已转为贴水现货，表明其已转而反映现货回落预期，接下来需要关注现货走势，而在远月-近月价差持续走扩之后，远月期价升水或已经在一定程度上反映现货上涨预期。据此我们中期谨慎看多，短期维持中性观点，建议投资者观望为宜，前期月间价差套利可择机离场。</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从原料成本角度看，考虑到鸡蛋养殖利润因行业供需处于往年同期低位，饲料成本因素对鸡蛋养殖利润的影响或相对大于生猪，在这种情况下，需要特别留意饲料原料即豆粕和玉米上涨的持续性。考虑到现货已经下跌至养殖成本下方，带动养殖户淘汰积极性上升，期价亦在一定程度上反映供需宽松的预期。在这种情况下，近月合约更多关注现货与基差走势，远月合约则更多关注供需改善预期和季节性因素。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7" w:name="_Toc11531"/>
      <w:r>
        <w:rPr>
          <w:rFonts w:hint="eastAsia" w:ascii="楷体" w:hAnsi="楷体" w:eastAsia="楷体"/>
          <w:b/>
          <w:bCs/>
          <w:color w:val="000000" w:themeColor="text1"/>
          <w14:textFill>
            <w14:solidFill>
              <w14:schemeClr w14:val="tx1"/>
            </w14:solidFill>
          </w14:textFill>
        </w:rPr>
        <w:t>白糖：内外走势分化，期价震荡运行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糖11主连上涨0.10%，伦敦ICE白砂糖主连上涨0.32%，期价小幅反弹。近两日白糖价格上涨主要是受印度消费预期增加的影响，往年3月中旬-6月中旬糖需求随冷饮和冰淇淋消费需求增加而增加，今年高温和大选使需求更为强劲，预计需求同比增长5%，抬高糖价。但中长期国际糖价仍由巴西主导，根据S&amp;P Global调查，4月上半月巴西中南部糖产量比上年同期增加27%，供应增加会压制价格上行。国内期货市场方面，昨日夜盘下跌0.34%。国内盘面未跟随外盘变动，或是因为近期五一假期前采购逐渐接近尾声，糖价回落。总体而言，中长期糖价维持偏弱运行的大方向不变，短期偶尔出现利多因素，期价震荡运行，建议投资者暂时保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8" w:name="_Toc13169"/>
      <w:r>
        <w:rPr>
          <w:rFonts w:hint="eastAsia" w:ascii="楷体" w:hAnsi="楷体" w:eastAsia="楷体"/>
          <w:b/>
          <w:bCs/>
          <w:color w:val="000000" w:themeColor="text1"/>
          <w14:textFill>
            <w14:solidFill>
              <w14:schemeClr w14:val="tx1"/>
            </w14:solidFill>
          </w14:textFill>
        </w:rPr>
        <w:t>棉花：需求不旺，价格下方无支撑</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2号棉花主连下跌0.95%，根据标普全球追踪数据，4月美国制造业和服务业PMI下降至50.9，略高于荣枯分水岭线，需求不旺。此外，根据USDA报告，美国棉花出口装船较之前一周减少3%，较此前四周均值减少24%。总体而言，下游需求不佳，价格没有支撑。国内昨日夜盘棉花和棉纱主力合约分别下跌0.35%和1.03%，期价跌势不止，现货市场乏味可陈。一季度纺企纱产量同比下降2.1%，布产量同比下降2.2%，对棉花的需求没有改善。目前国内新季开播，除非有天气和预期产量方面的利多因素，否则价格仍保持下行。</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9314"/>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29139"/>
      <w:r>
        <w:rPr>
          <w:rFonts w:hint="eastAsia" w:ascii="Times New Roman" w:hAnsi="Times New Roman" w:eastAsia="楷体"/>
          <w:b/>
          <w:color w:val="000000" w:themeColor="text1"/>
          <w:sz w:val="24"/>
          <w:szCs w:val="24"/>
          <w14:textFill>
            <w14:solidFill>
              <w14:schemeClr w14:val="tx1"/>
            </w14:solidFill>
          </w14:textFill>
        </w:rPr>
        <w:t>集运指数（欧线）：情绪降温期市价格稍有回落，后市需谨慎观察</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22日盘后SCFIS欧线收于2134.85点，环比回落0.6%。4月19日公布SCFI数据的上海港出口至欧洲、地中海基本港市场运价（海运及海运附加费）为1971美元/TEU和3048美元/TEU，较上期分别下跌0%、1.3%。运价自3月中旬以来走势较为平稳，市场货量较为稳定，船舶平均舱位利用率保持在较高水平。</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虽然4月船司们提价落实稍逊预期，但近日，已有MSC、马士基、达飞等多家航司宣布上调5月份欧线运价，提振市场情绪。</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据报道，19日以色列袭击了伊朗一地点，但由于暂未有进一步发酵，昨日市场情绪回落。</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未来关注点为5月份提价效果以及中东局势走向，近期交易风险较大，建议投资者交易保持观望。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71212556"/>
      <w:bookmarkStart w:id="42" w:name="_Toc12779"/>
      <w:bookmarkStart w:id="43" w:name="_Toc19667"/>
      <w:bookmarkStart w:id="44" w:name="_Toc98426751"/>
      <w:bookmarkStart w:id="45" w:name="_Toc72481108"/>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2024年4月24日星期三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9D75468"/>
    <w:rsid w:val="49E169F0"/>
    <w:rsid w:val="4A4A74EF"/>
    <w:rsid w:val="4A6F6249"/>
    <w:rsid w:val="4AB74C38"/>
    <w:rsid w:val="4B14426D"/>
    <w:rsid w:val="4B6224E5"/>
    <w:rsid w:val="4B8C4A56"/>
    <w:rsid w:val="4BF97936"/>
    <w:rsid w:val="4C457E30"/>
    <w:rsid w:val="4D2A3925"/>
    <w:rsid w:val="4DB20386"/>
    <w:rsid w:val="4DF02D90"/>
    <w:rsid w:val="4E665CB5"/>
    <w:rsid w:val="4FBA2B77"/>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2024-04-24T02:47:38Z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