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_Toc31880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_Toc18268 </w:instrText>
          </w:r>
          <w:r>
            <w:rPr>
              <w:bCs/>
            </w:rPr>
            <w:fldChar w:fldCharType="separate"/>
          </w:r>
          <w:r>
            <w:rPr>
              <w:rFonts w:hint="eastAsia" w:ascii="Times New Roman" w:hAnsi="Times New Roman" w:eastAsia="楷体"/>
              <w:szCs w:val="24"/>
            </w:rPr>
            <w:t>股指：多IF空IM组合继续持有</w:t>
          </w:r>
          <w:r>
            <w:rPr>
              <w:bCs/>
            </w:rPr>
            <w:fldChar w:fldCharType="end"/>
          </w:r>
        </w:p>
        <w:p>
          <w:pPr>
            <w:pStyle w:val="59"/>
            <w:tabs>
              <w:tab w:val="right" w:leader="dot" w:pos="8306"/>
            </w:tabs>
          </w:pPr>
          <w:r>
            <w:rPr>
              <w:bCs/>
            </w:rPr>
            <w:fldChar w:fldCharType="begin"/>
          </w:r>
          <w:r>
            <w:rPr>
              <w:bCs/>
            </w:rPr>
            <w:instrText xml:space="preserve"> HYPERLINK \l _Toc12970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_Toc13651 </w:instrText>
          </w:r>
          <w:r>
            <w:rPr>
              <w:bCs/>
            </w:rPr>
            <w:fldChar w:fldCharType="separate"/>
          </w:r>
          <w:r>
            <w:rPr>
              <w:rFonts w:hint="eastAsia" w:ascii="Times New Roman" w:hAnsi="Times New Roman" w:eastAsia="楷体"/>
              <w:szCs w:val="24"/>
            </w:rPr>
            <w:t>贵金属：欧央行提示即将降息，贵金属价格上涨</w:t>
          </w:r>
          <w:r>
            <w:rPr>
              <w:bCs/>
            </w:rPr>
            <w:fldChar w:fldCharType="end"/>
          </w:r>
        </w:p>
        <w:p>
          <w:pPr>
            <w:pStyle w:val="59"/>
            <w:tabs>
              <w:tab w:val="right" w:leader="dot" w:pos="8306"/>
            </w:tabs>
          </w:pPr>
          <w:r>
            <w:rPr>
              <w:bCs/>
            </w:rPr>
            <w:fldChar w:fldCharType="begin"/>
          </w:r>
          <w:r>
            <w:rPr>
              <w:bCs/>
            </w:rPr>
            <w:instrText xml:space="preserve"> HYPERLINK \l _Toc10188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_Toc18550 </w:instrText>
          </w:r>
          <w:r>
            <w:rPr>
              <w:bCs/>
            </w:rPr>
            <w:fldChar w:fldCharType="separate"/>
          </w:r>
          <w:r>
            <w:rPr>
              <w:rFonts w:hint="eastAsia" w:ascii="楷体" w:hAnsi="楷体" w:eastAsia="楷体"/>
              <w:szCs w:val="24"/>
            </w:rPr>
            <w:t>碳酸锂：现货价格走平，期价下跌</w:t>
          </w:r>
          <w:r>
            <w:rPr>
              <w:bCs/>
            </w:rPr>
            <w:fldChar w:fldCharType="end"/>
          </w:r>
        </w:p>
        <w:p>
          <w:pPr>
            <w:pStyle w:val="74"/>
            <w:tabs>
              <w:tab w:val="right" w:leader="dot" w:pos="8306"/>
            </w:tabs>
          </w:pPr>
          <w:r>
            <w:rPr>
              <w:bCs/>
            </w:rPr>
            <w:fldChar w:fldCharType="begin"/>
          </w:r>
          <w:r>
            <w:rPr>
              <w:bCs/>
            </w:rPr>
            <w:instrText xml:space="preserve"> HYPERLINK \l _Toc2022 </w:instrText>
          </w:r>
          <w:r>
            <w:rPr>
              <w:bCs/>
            </w:rPr>
            <w:fldChar w:fldCharType="separate"/>
          </w:r>
          <w:r>
            <w:rPr>
              <w:rFonts w:hint="eastAsia" w:ascii="楷体" w:hAnsi="楷体" w:eastAsia="楷体"/>
              <w:szCs w:val="24"/>
            </w:rPr>
            <w:t>铜：资金做多情绪未降温，铜价维持高位运行</w:t>
          </w:r>
          <w:r>
            <w:rPr>
              <w:bCs/>
            </w:rPr>
            <w:fldChar w:fldCharType="end"/>
          </w:r>
        </w:p>
        <w:p>
          <w:pPr>
            <w:pStyle w:val="74"/>
            <w:tabs>
              <w:tab w:val="right" w:leader="dot" w:pos="8306"/>
            </w:tabs>
          </w:pPr>
          <w:r>
            <w:rPr>
              <w:bCs/>
            </w:rPr>
            <w:fldChar w:fldCharType="begin"/>
          </w:r>
          <w:r>
            <w:rPr>
              <w:bCs/>
            </w:rPr>
            <w:instrText xml:space="preserve"> HYPERLINK \l _Toc2112 </w:instrText>
          </w:r>
          <w:r>
            <w:rPr>
              <w:bCs/>
            </w:rPr>
            <w:fldChar w:fldCharType="separate"/>
          </w:r>
          <w:r>
            <w:rPr>
              <w:rFonts w:hint="eastAsia" w:ascii="楷体" w:hAnsi="楷体" w:eastAsia="楷体"/>
              <w:szCs w:val="24"/>
            </w:rPr>
            <w:t>铝：铝价高位震荡运行</w:t>
          </w:r>
          <w:r>
            <w:rPr>
              <w:bCs/>
            </w:rPr>
            <w:fldChar w:fldCharType="end"/>
          </w:r>
        </w:p>
        <w:p>
          <w:pPr>
            <w:pStyle w:val="74"/>
            <w:tabs>
              <w:tab w:val="right" w:leader="dot" w:pos="8306"/>
            </w:tabs>
          </w:pPr>
          <w:r>
            <w:rPr>
              <w:bCs/>
            </w:rPr>
            <w:fldChar w:fldCharType="begin"/>
          </w:r>
          <w:r>
            <w:rPr>
              <w:bCs/>
            </w:rPr>
            <w:instrText xml:space="preserve"> HYPERLINK \l _Toc8799 </w:instrText>
          </w:r>
          <w:r>
            <w:rPr>
              <w:bCs/>
            </w:rPr>
            <w:fldChar w:fldCharType="separate"/>
          </w:r>
          <w:r>
            <w:rPr>
              <w:rFonts w:hint="eastAsia" w:ascii="楷体" w:hAnsi="楷体" w:eastAsia="楷体"/>
              <w:szCs w:val="24"/>
            </w:rPr>
            <w:t>锌：锌市涨势未改</w:t>
          </w:r>
          <w:r>
            <w:rPr>
              <w:bCs/>
            </w:rPr>
            <w:fldChar w:fldCharType="end"/>
          </w:r>
        </w:p>
        <w:p>
          <w:pPr>
            <w:pStyle w:val="74"/>
            <w:tabs>
              <w:tab w:val="right" w:leader="dot" w:pos="8306"/>
            </w:tabs>
          </w:pPr>
          <w:r>
            <w:rPr>
              <w:bCs/>
            </w:rPr>
            <w:fldChar w:fldCharType="begin"/>
          </w:r>
          <w:r>
            <w:rPr>
              <w:bCs/>
            </w:rPr>
            <w:instrText xml:space="preserve"> HYPERLINK \l _Toc15599 </w:instrText>
          </w:r>
          <w:r>
            <w:rPr>
              <w:bCs/>
            </w:rPr>
            <w:fldChar w:fldCharType="separate"/>
          </w:r>
          <w:r>
            <w:rPr>
              <w:rFonts w:hint="eastAsia" w:ascii="楷体" w:hAnsi="楷体" w:eastAsia="楷体"/>
              <w:szCs w:val="24"/>
            </w:rPr>
            <w:t>镍：宏观扰动明显，需警惕回落风险</w:t>
          </w:r>
          <w:r>
            <w:rPr>
              <w:bCs/>
            </w:rPr>
            <w:fldChar w:fldCharType="end"/>
          </w:r>
        </w:p>
        <w:p>
          <w:pPr>
            <w:pStyle w:val="74"/>
            <w:tabs>
              <w:tab w:val="right" w:leader="dot" w:pos="8306"/>
            </w:tabs>
          </w:pPr>
          <w:r>
            <w:rPr>
              <w:bCs/>
            </w:rPr>
            <w:fldChar w:fldCharType="begin"/>
          </w:r>
          <w:r>
            <w:rPr>
              <w:bCs/>
            </w:rPr>
            <w:instrText xml:space="preserve"> HYPERLINK \l _Toc17192 </w:instrText>
          </w:r>
          <w:r>
            <w:rPr>
              <w:bCs/>
            </w:rPr>
            <w:fldChar w:fldCharType="separate"/>
          </w:r>
          <w:r>
            <w:rPr>
              <w:rFonts w:hint="eastAsia" w:ascii="楷体" w:hAnsi="楷体" w:eastAsia="楷体"/>
              <w:szCs w:val="24"/>
            </w:rPr>
            <w:t>不锈钢：供需矛盾明显，价格上方空间有限</w:t>
          </w:r>
          <w:r>
            <w:rPr>
              <w:bCs/>
            </w:rPr>
            <w:fldChar w:fldCharType="end"/>
          </w:r>
        </w:p>
        <w:p>
          <w:pPr>
            <w:pStyle w:val="74"/>
            <w:tabs>
              <w:tab w:val="right" w:leader="dot" w:pos="8306"/>
            </w:tabs>
          </w:pPr>
          <w:r>
            <w:rPr>
              <w:bCs/>
            </w:rPr>
            <w:fldChar w:fldCharType="begin"/>
          </w:r>
          <w:r>
            <w:rPr>
              <w:bCs/>
            </w:rPr>
            <w:instrText xml:space="preserve"> HYPERLINK \l _Toc15533 </w:instrText>
          </w:r>
          <w:r>
            <w:rPr>
              <w:bCs/>
            </w:rPr>
            <w:fldChar w:fldCharType="separate"/>
          </w:r>
          <w:r>
            <w:rPr>
              <w:rFonts w:hint="eastAsia" w:ascii="楷体" w:hAnsi="楷体" w:eastAsia="楷体"/>
              <w:szCs w:val="24"/>
            </w:rPr>
            <w:t>工业硅：库存压力暂未缓解，或将压制反弹空间</w:t>
          </w:r>
          <w:r>
            <w:rPr>
              <w:bCs/>
            </w:rPr>
            <w:fldChar w:fldCharType="end"/>
          </w:r>
        </w:p>
        <w:p>
          <w:pPr>
            <w:pStyle w:val="59"/>
            <w:tabs>
              <w:tab w:val="right" w:leader="dot" w:pos="8306"/>
            </w:tabs>
          </w:pPr>
          <w:r>
            <w:rPr>
              <w:bCs/>
            </w:rPr>
            <w:fldChar w:fldCharType="begin"/>
          </w:r>
          <w:r>
            <w:rPr>
              <w:bCs/>
            </w:rPr>
            <w:instrText xml:space="preserve"> HYPERLINK \l _Toc16830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_Toc23322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成本支撑依旧强劲，橡胶短线回撤后或向上修复</w:t>
          </w:r>
          <w:r>
            <w:rPr>
              <w:bCs/>
            </w:rPr>
            <w:fldChar w:fldCharType="end"/>
          </w:r>
        </w:p>
        <w:p>
          <w:pPr>
            <w:pStyle w:val="74"/>
            <w:tabs>
              <w:tab w:val="right" w:leader="dot" w:pos="8306"/>
            </w:tabs>
          </w:pPr>
          <w:r>
            <w:rPr>
              <w:bCs/>
            </w:rPr>
            <w:fldChar w:fldCharType="begin"/>
          </w:r>
          <w:r>
            <w:rPr>
              <w:bCs/>
            </w:rPr>
            <w:instrText xml:space="preserve"> HYPERLINK \l _Toc23819 </w:instrText>
          </w:r>
          <w:r>
            <w:rPr>
              <w:bCs/>
            </w:rPr>
            <w:fldChar w:fldCharType="separate"/>
          </w:r>
          <w:r>
            <w:rPr>
              <w:rFonts w:hint="eastAsia" w:ascii="楷体" w:hAnsi="楷体" w:eastAsia="楷体"/>
              <w:szCs w:val="24"/>
            </w:rPr>
            <w:t>聚烯烃：成本支撑减弱，PE整体依旧强于PP</w:t>
          </w:r>
          <w:r>
            <w:rPr>
              <w:bCs/>
            </w:rPr>
            <w:fldChar w:fldCharType="end"/>
          </w:r>
        </w:p>
        <w:p>
          <w:pPr>
            <w:pStyle w:val="74"/>
            <w:tabs>
              <w:tab w:val="right" w:leader="dot" w:pos="8306"/>
            </w:tabs>
          </w:pPr>
          <w:r>
            <w:rPr>
              <w:bCs/>
            </w:rPr>
            <w:fldChar w:fldCharType="begin"/>
          </w:r>
          <w:r>
            <w:rPr>
              <w:bCs/>
            </w:rPr>
            <w:instrText xml:space="preserve"> HYPERLINK \l _Toc22042 </w:instrText>
          </w:r>
          <w:r>
            <w:rPr>
              <w:bCs/>
            </w:rPr>
            <w:fldChar w:fldCharType="separate"/>
          </w:r>
          <w:r>
            <w:rPr>
              <w:rFonts w:hint="eastAsia" w:ascii="楷体" w:hAnsi="楷体" w:eastAsia="楷体"/>
              <w:szCs w:val="24"/>
            </w:rPr>
            <w:t>玻璃：产销较好但边际走弱，建议观望</w:t>
          </w:r>
          <w:r>
            <w:rPr>
              <w:bCs/>
            </w:rPr>
            <w:fldChar w:fldCharType="end"/>
          </w:r>
        </w:p>
        <w:p>
          <w:pPr>
            <w:pStyle w:val="74"/>
            <w:tabs>
              <w:tab w:val="right" w:leader="dot" w:pos="8306"/>
            </w:tabs>
          </w:pPr>
          <w:r>
            <w:rPr>
              <w:bCs/>
            </w:rPr>
            <w:fldChar w:fldCharType="begin"/>
          </w:r>
          <w:r>
            <w:rPr>
              <w:bCs/>
            </w:rPr>
            <w:instrText xml:space="preserve"> HYPERLINK \l _Toc29566 </w:instrText>
          </w:r>
          <w:r>
            <w:rPr>
              <w:bCs/>
            </w:rPr>
            <w:fldChar w:fldCharType="separate"/>
          </w:r>
          <w:r>
            <w:rPr>
              <w:rFonts w:hint="eastAsia" w:ascii="楷体" w:hAnsi="楷体" w:eastAsia="楷体"/>
              <w:szCs w:val="24"/>
            </w:rPr>
            <w:t>纯碱：周内小幅去库，下周产能恢复</w:t>
          </w:r>
          <w:r>
            <w:rPr>
              <w:bCs/>
            </w:rPr>
            <w:fldChar w:fldCharType="end"/>
          </w:r>
        </w:p>
        <w:p>
          <w:pPr>
            <w:pStyle w:val="74"/>
            <w:tabs>
              <w:tab w:val="right" w:leader="dot" w:pos="8306"/>
            </w:tabs>
          </w:pPr>
          <w:r>
            <w:rPr>
              <w:bCs/>
            </w:rPr>
            <w:fldChar w:fldCharType="begin"/>
          </w:r>
          <w:r>
            <w:rPr>
              <w:bCs/>
            </w:rPr>
            <w:instrText xml:space="preserve"> HYPERLINK \l _Toc12812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_Toc24799 </w:instrText>
          </w:r>
          <w:r>
            <w:rPr>
              <w:bCs/>
            </w:rPr>
            <w:fldChar w:fldCharType="separate"/>
          </w:r>
          <w:r>
            <w:rPr>
              <w:rFonts w:hint="eastAsia" w:ascii="Times New Roman" w:hAnsi="Times New Roman" w:eastAsia="楷体"/>
              <w:szCs w:val="24"/>
            </w:rPr>
            <w:t>乙二醇：煤化工开工率提升预期  短期价格震荡偏弱</w:t>
          </w:r>
          <w:r>
            <w:rPr>
              <w:bCs/>
            </w:rPr>
            <w:fldChar w:fldCharType="end"/>
          </w:r>
        </w:p>
        <w:p>
          <w:pPr>
            <w:pStyle w:val="59"/>
            <w:tabs>
              <w:tab w:val="right" w:leader="dot" w:pos="8306"/>
            </w:tabs>
          </w:pPr>
          <w:r>
            <w:rPr>
              <w:bCs/>
            </w:rPr>
            <w:fldChar w:fldCharType="begin"/>
          </w:r>
          <w:r>
            <w:rPr>
              <w:bCs/>
            </w:rPr>
            <w:instrText xml:space="preserve"> HYPERLINK \l _Toc18656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_Toc22427 </w:instrText>
          </w:r>
          <w:r>
            <w:rPr>
              <w:bCs/>
            </w:rPr>
            <w:fldChar w:fldCharType="separate"/>
          </w:r>
          <w:r>
            <w:rPr>
              <w:rFonts w:hint="eastAsia" w:ascii="楷体" w:hAnsi="楷体" w:eastAsia="楷体"/>
              <w:bCs/>
            </w:rPr>
            <w:t>玉米与淀粉：</w:t>
          </w:r>
          <w:r>
            <w:rPr>
              <w:rFonts w:hint="eastAsia" w:ascii="楷体" w:hAnsi="楷体" w:eastAsia="楷体"/>
            </w:rPr>
            <w:t>淀粉-玉米价差小幅反弹</w:t>
          </w:r>
          <w:r>
            <w:rPr>
              <w:bCs/>
            </w:rPr>
            <w:fldChar w:fldCharType="end"/>
          </w:r>
        </w:p>
        <w:p>
          <w:pPr>
            <w:pStyle w:val="74"/>
            <w:tabs>
              <w:tab w:val="right" w:leader="dot" w:pos="8306"/>
            </w:tabs>
          </w:pPr>
          <w:r>
            <w:rPr>
              <w:bCs/>
            </w:rPr>
            <w:fldChar w:fldCharType="begin"/>
          </w:r>
          <w:r>
            <w:rPr>
              <w:bCs/>
            </w:rPr>
            <w:instrText xml:space="preserve"> HYPERLINK \l _Toc10912 </w:instrText>
          </w:r>
          <w:r>
            <w:rPr>
              <w:bCs/>
            </w:rPr>
            <w:fldChar w:fldCharType="separate"/>
          </w:r>
          <w:r>
            <w:rPr>
              <w:rFonts w:hint="eastAsia" w:ascii="楷体" w:hAnsi="楷体" w:eastAsia="楷体"/>
              <w:bCs/>
            </w:rPr>
            <w:t>畜禽养殖：生猪期价继续弱势</w:t>
          </w:r>
          <w:r>
            <w:rPr>
              <w:bCs/>
            </w:rPr>
            <w:fldChar w:fldCharType="end"/>
          </w:r>
        </w:p>
        <w:p>
          <w:pPr>
            <w:pStyle w:val="74"/>
            <w:tabs>
              <w:tab w:val="right" w:leader="dot" w:pos="8306"/>
            </w:tabs>
          </w:pPr>
          <w:r>
            <w:rPr>
              <w:bCs/>
            </w:rPr>
            <w:fldChar w:fldCharType="begin"/>
          </w:r>
          <w:r>
            <w:rPr>
              <w:bCs/>
            </w:rPr>
            <w:instrText xml:space="preserve"> HYPERLINK \l _Toc31138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_Toc9055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_Toc21774 </w:instrText>
          </w:r>
          <w:r>
            <w:rPr>
              <w:bCs/>
            </w:rPr>
            <w:fldChar w:fldCharType="separate"/>
          </w:r>
          <w:r>
            <w:rPr>
              <w:rFonts w:hint="eastAsia" w:ascii="Times New Roman" w:hAnsi="Times New Roman" w:eastAsia="楷体"/>
              <w:szCs w:val="24"/>
            </w:rPr>
            <w:t>集运指数（欧线）：地缘冲突摇动仍存，EC或继续偏强横行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188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826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多IF空IM组合继续持有</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3050点对大盘构筑短线压力，短线大盘还将继续挑战 3050点上方压力，从阶段上看，大盘还不具备大幅上涨并突破年内高点的技术条件，仍处于区间震荡运行的态势，4月业绩披露期，市场避险情绪上升，围绕业绩及高股息线索展开交易，同时关注中美两国关系缓和后带来的交易机会，建议多IF空IM组合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297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3651"/>
      <w:r>
        <w:rPr>
          <w:rFonts w:hint="eastAsia" w:ascii="Times New Roman" w:hAnsi="Times New Roman" w:eastAsia="楷体"/>
          <w:b/>
          <w:color w:val="000000" w:themeColor="text1"/>
          <w:sz w:val="24"/>
          <w:szCs w:val="24"/>
          <w14:textFill>
            <w14:solidFill>
              <w14:schemeClr w14:val="tx1"/>
            </w14:solidFill>
          </w14:textFill>
        </w:rPr>
        <w:t>贵金属：欧央行提示即将降息，贵金属价格上涨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3月CPI高于预期，沪金涨1.06%至561.44元/克；沪银涨0.93%至7247元/千克。COMEX黄金期货涨1.8%报2390.6美元/盎司，COMEX白银期货涨1.76%报28.545美元/盎司。美国3月PPI同比上升2.1%，创2023年4月以来新高，预期2.2%，前值1.6%；环比上升0.2%，预期0.3%，前值0.6%。3月核心PPI同比上升2.4%，预期2.3%，前值2.0%；环比上升0.2%，预期0.2%，前值0.3%。美国上周初请失业金人数为21.1万人，预期21.5万人，前值自22.1万人修正至22.2万人。欧央行宣布，维持三大关键利率不变，符合市场预期；另外，欧央行提示即将降息，大多数潜在通胀指标正在放缓。欧元区3月份通胀率从2月份的2.6%放缓至2.4%；核心通胀率从3.1%降至2.9%，为2022年初以来最低水平。中长线角度避险情绪、央行持续购金等多重因素持续对金价形成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018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855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碳酸锂：现货价格走平，期价下跌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盘初下挫后窄幅震荡运行，07合约收跌3.06%至112500元/吨。3月国内碳酸锂产量42792吨，环比增32%，同比增43%；氢氧化锂产量27375吨，环比增55%，同比增15%。下游5月排产环比微增，企业原料库存去化、维持刚需采购，目标价位偏低。生产方面前期环保因素影响减弱，SMM预测4月碳酸锂产量约53135吨，环比增24.2%，上游企业维持挺价情绪，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2022"/>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资金做多情绪未降温，铜价维持高位运行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(1)宏观：美国3月核心PPI同比2.4%，预期 2.3%，前值 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美国上周首次申领失业救济人数为21.1万人，预估为21.5万人，前值为22.1万人。</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(2)库存：4月11日，SHFE仓单库存225397吨，减2034吨；LME仓单库存124850吨，增1375吨。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(3)精废价差：4月11日，Mysteel精废价差3280，扩张120。目前价差在合理价差1461之上。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美国3月CPI及PPI数据均超预期，降息预期进一步下修，美联储官员在周四的讲话中也重申在放松货币政策时需要有耐心，提振美元大幅拉升，对整体有色形成压制。但当前铜市场高持仓量并未出现明显减少，做多情绪并未明显降温，预计短期价格仍将维持高位运行。与此同时，乐观预期及供应端炒作推高的价格将持续面临需求的验证，如果后期公布的经济数据及需求明显不及预期，预计价格将存在较大回落压力。</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2112"/>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铝价高位震荡运行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压力仍存，海外经济有复苏增长预期，国内政策面持续释放利多信号。铝价前期上破长震荡区间，矿端制约叠加进口铝锭输入减少影响电解铝供应稳定增长预期，下游需求虽有传统消费拖累，但在新兴消费的带动下游需求边际回暖，电解铝生产成本强化了价格下方支撑，沪铝价格中枢上移，目前时值消费旺季，库存边际去库节奏偏缓，下游对高铝价消化有限，预计价格仍会反复，短期内价格预计高位震荡运行在19500-21000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8799"/>
      <w:r>
        <w:rPr>
          <w:rFonts w:hint="eastAsia" w:ascii="楷体" w:hAnsi="楷体" w:eastAsia="楷体"/>
          <w:b/>
          <w:color w:val="000000" w:themeColor="text1"/>
          <w:sz w:val="24"/>
          <w:szCs w:val="24"/>
          <w14:textFill>
            <w14:solidFill>
              <w14:schemeClr w14:val="tx1"/>
            </w14:solidFill>
          </w14:textFill>
        </w:rPr>
        <w:t>锌：锌市涨势未改</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同比数据强于预期，有色价格小幅承压回调但表现依旧强势。供应端有原料趋紧、冶炼端利润负反馈导致的生产减停风险，需求端指向传统消费有所拖累，新兴消费占比较小提振有限，整体上看供应有减停预期，需求旺季边际修复，多头情绪占据主导，锌价上涨趋势未改。</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5599"/>
      <w:r>
        <w:rPr>
          <w:rFonts w:hint="eastAsia" w:ascii="楷体" w:hAnsi="楷体" w:eastAsia="楷体"/>
          <w:b/>
          <w:color w:val="000000" w:themeColor="text1"/>
          <w:sz w:val="24"/>
          <w:szCs w:val="24"/>
          <w14:textFill>
            <w14:solidFill>
              <w14:schemeClr w14:val="tx1"/>
            </w14:solidFill>
          </w14:textFill>
        </w:rPr>
        <w:t>镍：宏观扰动明显，需警惕回落风险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预期下修，但市场主要交易的是全球经济复苏的预期下宏观积极情绪。成本方面，印尼华飞等MHP项目供应逐步恢复，MHP及硫酸镍现货紧张情况有所缓解，后市电积镍成本支撑存在下跌空间。需求方面，3月三元材料厂家开工率回暖主要出于对新能源汽车市场需求向好预期下的前置性备货，新能源汽车对镍需求提振作用仍有待观察；不锈钢市场供需矛盾明显，后续或通过减产来调节供需矛盾。供应方面，精炼镍产能持续释放，镍市仍处于供应显著过剩格局中，现货库存持续累积。综合而言，虽宏观情绪一片暖意，但在供应过剩格局及成本支撑趋弱情况下，需警惕宏观情绪弱化后的回落风险，建议暂时观望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7192"/>
      <w:r>
        <w:rPr>
          <w:rFonts w:hint="eastAsia" w:ascii="楷体" w:hAnsi="楷体" w:eastAsia="楷体"/>
          <w:b/>
          <w:color w:val="000000" w:themeColor="text1"/>
          <w:sz w:val="24"/>
          <w:szCs w:val="24"/>
          <w14:textFill>
            <w14:solidFill>
              <w14:schemeClr w14:val="tx1"/>
            </w14:solidFill>
          </w14:textFill>
        </w:rPr>
        <w:t>不锈钢：供需矛盾明显，价格上方空间有限</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全球经济复苏的预期下宏观情绪较积极。镍铁端，受宏观情绪影响，镍铁价格有所回暖，但印尼镍铁回流压力趋增，且下游采购需求较弱，镍铁价格承压。需求方面，近日市场成交氛围具有边际好转，但整体来看需求仍偏弱。供应方面，目前不锈钢处于高供应、高库存的状态，暂未看到明显减产计划。库存方面，仓单库存处于历史新高点附近，体现供应过剩压力明显。综合而言，宏观情绪对有色板块带来提振，但需求偏弱及库存高位对不锈钢价格带来压制，不锈钢价格上方空间有限，关注14000整数关口压力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553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库存压力暂未缓解，或将压制反弹空间</w:t>
      </w:r>
      <w:bookmarkEnd w:id="27"/>
    </w:p>
    <w:p>
      <w:pPr>
        <w:ind w:left="630" w:leftChars="300"/>
        <w:rPr>
          <w:rFonts w:ascii="楷体" w:hAnsi="楷体" w:eastAsia="楷体"/>
          <w:sz w:val="24"/>
          <w:szCs w:val="24"/>
        </w:rPr>
      </w:pPr>
      <w:r>
        <w:rPr>
          <w:rFonts w:hint="eastAsia" w:ascii="楷体" w:hAnsi="楷体" w:eastAsia="楷体"/>
          <w:sz w:val="24"/>
          <w:szCs w:val="24"/>
        </w:rPr>
        <w:t>4月11日，Si2406主力合约呈下行走势，收盘价12135元/吨，较上一收盘价涨跌幅-0.65%。从供应端来看，南方地区开工率维持低位，北方地区部分硅厂开始停炉检修，整体供应有缩减预期。从需求端来看，三大下游除铝合金市场相对稳定外，核心板块多晶硅与有机硅市场情绪依旧悲观，整体库存压力较大，市场仍处于下行通道，暂未看到企稳迹象。综合而言，当前供需面边际转向双弱格局，在工业品整体情绪较高背景下，以及盘面已经跌至丰水期预估成本线附近，短期盘面或有支撑。但行业库存整体较大，尤其仓单压力暂未得到有限缓解，叠加丰水期存在复产预期，也将压制盘面大幅反弹空间。策略上，建议可暂时观望。</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6830"/>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332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成本支撑依旧强劲，橡胶短线回撤后或向上修复</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供应上量有限，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伴随国内深浅色胶库存齐降，胶价或逐步企稳回暖。</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3819"/>
      <w:r>
        <w:rPr>
          <w:rFonts w:hint="eastAsia" w:ascii="楷体" w:hAnsi="楷体" w:eastAsia="楷体"/>
          <w:b/>
          <w:color w:val="000000" w:themeColor="text1"/>
          <w:sz w:val="24"/>
          <w:szCs w:val="24"/>
          <w14:textFill>
            <w14:solidFill>
              <w14:schemeClr w14:val="tx1"/>
            </w14:solidFill>
          </w14:textFill>
        </w:rPr>
        <w:t>聚烯烃：成本支撑减弱，PE整体依旧强于PP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逢低做多。</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2042"/>
      <w:r>
        <w:rPr>
          <w:rFonts w:hint="eastAsia" w:ascii="楷体" w:hAnsi="楷体" w:eastAsia="楷体"/>
          <w:b/>
          <w:color w:val="000000" w:themeColor="text1"/>
          <w:sz w:val="24"/>
          <w:szCs w:val="24"/>
          <w14:textFill>
            <w14:solidFill>
              <w14:schemeClr w14:val="tx1"/>
            </w14:solidFill>
          </w14:textFill>
        </w:rPr>
        <w:t>玻璃：产销较好但边际走弱，建议观望</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11日报道：今日浮法玻璃现货价格1730元/吨，较上一交易日+1元/吨。供给上，周内海南信义4线600T/d放水，沙河安全实业600T/d放水，绍兴搬迁线1200T/d改产超白，产量减少。库存上，截止到20240411，全国浮法玻璃样本企业总库存6037.4万重箱，环比-481.8万重箱，环比-7.39%。现货端，沙河、湖北低价玻璃产销较好，提价刺激销售，华南跟随涨价刺激销售。供给端减产以后，短期供给仍处于高位，4月需求环比3月有所改善，中下游月初补库。盘面上，日内产销较好，宏观地产多地出台公积金贷款上调信息，情绪较强，后市重点观察产销持续情况，短线期价升水后随着产销边际走弱再度回调，近期价格低位震荡，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9566"/>
      <w:r>
        <w:rPr>
          <w:rFonts w:hint="eastAsia" w:ascii="楷体" w:hAnsi="楷体" w:eastAsia="楷体"/>
          <w:b/>
          <w:color w:val="000000" w:themeColor="text1"/>
          <w:sz w:val="24"/>
          <w:szCs w:val="24"/>
          <w14:textFill>
            <w14:solidFill>
              <w14:schemeClr w14:val="tx1"/>
            </w14:solidFill>
          </w14:textFill>
        </w:rPr>
        <w:t>纯碱：周内小幅去库，下周产能恢复</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月初纯碱现货报价继续稳价，低价封单，高价不变，华中和华北报价在1850元/吨左右。从供给端来看，隆众资讯4月11日报道：周内纯碱产量70.62万吨，环比增加0.8万吨，涨幅1.15%，下周产量继续恢复约至73万吨。从库存上看，截止到2024年4月11日，本周国内纯碱厂家总库存91.68万吨，环比周一涨4.18万吨，涨幅4.78%。需求端表现平稳，月初新订单增多至14天。盘面上，由于检修传闻较多，主力合约反弹，目前较1850元附近的现货升水，不排除有部分碱厂以涨价促进销售，但考虑到纯碱库存较大的情况，纯碱大幅涨价的条件并不充分，短期情绪影响较大，期价升水以后有套保订单，谨慎追高。</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12812"/>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假期期间美国经济数据持续向好及地缘因素支撑力度有所增强，原油加速冲高，短线留意回调风险。本周PTA装置负荷下调，能投100万吨停车，恒力惠州1期短停后恢复，2期停车检修，台化150万吨新装置负荷7~8成，至4.7 PTA装置负荷降至74.4%（-2.9%），后续仍有福海创450万吨、嘉通能源300万吨、恒力惠州200万吨装置检修。新增产能投产方面，台化150万吨PTA维持7成左右开工，仪征化纤300万吨将于近日投料。随着检修装置重启以及局部产量增加，聚酯负荷继续提升，截止4.7，国内大陆地区聚酯负荷在92.2%附近。终端来看，江浙终端开工高位维持，聚酯工厂采购积极性增加，内外销订单表现尚可。综合来看，近期PTA部分装置开启检修且下游补库，供需格局改善，4月有望去库。 PTA短期走势驱动核心在成本端，4月PX开启检修且PX加工费低位，留意调油需求对PX价格提振。PTA期价受成本及供需改善共振震荡偏强。仅供参考。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4799"/>
      <w:r>
        <w:rPr>
          <w:rFonts w:hint="eastAsia" w:ascii="Times New Roman" w:hAnsi="Times New Roman" w:eastAsia="楷体"/>
          <w:b/>
          <w:color w:val="000000" w:themeColor="text1"/>
          <w:sz w:val="24"/>
          <w:szCs w:val="24"/>
          <w14:textFill>
            <w14:solidFill>
              <w14:schemeClr w14:val="tx1"/>
            </w14:solidFill>
          </w14:textFill>
        </w:rPr>
        <w:t>乙二醇：煤化工开工率提升预期  短期价格震荡偏弱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4.7华东主港地区MEG港口库存约85.6万吨附近，环比上期减少2.4万吨。截至4月7日，中国大陆地区乙二醇整体开工负荷在63.24%（-1.69%），其中草酸催化加氢法（合成气）制乙二醇开工负荷在65.91%（+6.19%）。节后新疆广汇重启，榆林化学、山西沃能等提负运行，煤化工开工率大幅提升。随着煤价走低，煤化工企业提升开工率积极性增加，后续来看，煤制开工率仍有提升空间。截至4月7日，国内大陆地区聚酯负荷在92.2%（+1%），聚酯负荷继续维持。终端来看，江浙终端开工小幅调整，截止4.7江浙下游加弹、织造、印染负荷分别在94%（+0%）、80%（-2%）、90%(+3%)。综合来看，4月来看，浙石化、卫星石化检修，乙二醇维持小幅去库格局。但随着装置检修利好落地、乙二醇进口到小幅增加及部分煤化工装置开工率大幅提升，供应端压力仍存，后市期价承压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8656"/>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2242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淀粉-玉米价差小幅反弹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国家政策（增储与限制保税区玉米进口）带动下，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带动淀粉-玉米价差持续收窄的主要原因有二，其一是行业供需，即行业开机率带动库存持续累积，其二是原料成本端，即华北-东北玉米价差持续低位，两者作用的结果就是华北淀粉成本定价。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10912"/>
      <w:r>
        <w:rPr>
          <w:rFonts w:hint="eastAsia" w:ascii="楷体" w:hAnsi="楷体" w:eastAsia="楷体"/>
          <w:b/>
          <w:bCs/>
          <w:color w:val="000000" w:themeColor="text1"/>
          <w14:textFill>
            <w14:solidFill>
              <w14:schemeClr w14:val="tx1"/>
            </w14:solidFill>
          </w14:textFill>
        </w:rPr>
        <w:t>畜禽养殖：生猪期价继续弱势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31138"/>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9055"/>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21774"/>
      <w:r>
        <w:rPr>
          <w:rFonts w:hint="eastAsia" w:ascii="Times New Roman" w:hAnsi="Times New Roman" w:eastAsia="楷体"/>
          <w:b/>
          <w:color w:val="000000" w:themeColor="text1"/>
          <w:sz w:val="24"/>
          <w:szCs w:val="24"/>
          <w14:textFill>
            <w14:solidFill>
              <w14:schemeClr w14:val="tx1"/>
            </w14:solidFill>
          </w14:textFill>
        </w:rPr>
        <w:t>集运指数（欧线）：地缘冲突摇动仍存，EC或继续偏强横行</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4月8日盘后发布的SCFIS欧线报2172.14点，环比-0.1%，证明实际落实情况偏弱。中东方面，哈马斯拒绝了以色列在开罗会谈中提出的停火建议，但消息称可能同意在永久停火前释放一些人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船司4月提价实现但效果仍待验证，中东局势矛盾仍存，预计盘面维持偏强震荡，投资者交易保持观望。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2779"/>
      <w:bookmarkStart w:id="43" w:name="_Toc72481108"/>
      <w:bookmarkStart w:id="44" w:name="_Toc71212556"/>
      <w:bookmarkStart w:id="45" w:name="_Toc19667"/>
      <w:bookmarkStart w:id="46" w:name="_Toc98426751"/>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2024年4月12日星期五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FA14A50"/>
    <w:rsid w:val="2FA70F17"/>
    <w:rsid w:val="30CB447B"/>
    <w:rsid w:val="32951C0D"/>
    <w:rsid w:val="33CE5AF4"/>
    <w:rsid w:val="340E7198"/>
    <w:rsid w:val="34A75784"/>
    <w:rsid w:val="3581551C"/>
    <w:rsid w:val="35D65FDD"/>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9E169F0"/>
    <w:rsid w:val="4A4A74EF"/>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2024-04-12T02:17:29Z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