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楷体" w:cs="Times New Roman"/>
          <w:b/>
          <w:color w:val="823C0B"/>
          <w:sz w:val="32"/>
          <w:szCs w:val="32"/>
        </w:rPr>
      </w:pPr>
      <w:bookmarkStart w:id="0" w:name="_top"/>
      <w:bookmarkEnd w:id="0"/>
      <w:r>
        <w:rPr>
          <w:rFonts w:ascii="Times New Roman" w:hAnsi="Times New Roman" w:eastAsia="楷体" w:cs="Times New Roman"/>
          <w:b/>
          <w:color w:val="823C0B"/>
          <w:sz w:val="32"/>
          <w:szCs w:val="32"/>
        </w:rPr>
        <w:t>广州期货早间直通车</w:t>
      </w:r>
    </w:p>
    <w:p>
      <w:pPr>
        <w:jc w:val="right"/>
        <w:rPr>
          <w:rFonts w:ascii="Times New Roman" w:hAnsi="Times New Roman" w:eastAsia="楷体" w:cs="Times New Roman"/>
          <w:b/>
          <w:color w:val="823C0B"/>
          <w:sz w:val="24"/>
        </w:rPr>
      </w:pPr>
    </w:p>
    <w:p>
      <w:pPr>
        <w:jc w:val="center"/>
        <w:rPr>
          <w:rFonts w:ascii="Times New Roman" w:hAnsi="Times New Roman" w:eastAsia="楷体" w:cs="Times New Roman"/>
          <w:b/>
          <w:color w:val="823C0B"/>
          <w:sz w:val="24"/>
        </w:rPr>
      </w:pPr>
      <w:r>
        <w:rPr>
          <w:rFonts w:ascii="Times New Roman" w:hAnsi="Times New Roman" w:eastAsia="楷体" w:cs="Times New Roman"/>
          <w:b/>
          <w:color w:val="823C0B"/>
          <w:sz w:val="24"/>
        </w:rPr>
        <w:t>投资咨询业务资格：证监许可【2012】1497号</w:t>
      </w:r>
    </w:p>
    <w:p>
      <w:pPr>
        <w:jc w:val="center"/>
        <w:rPr>
          <w:rFonts w:ascii="Times New Roman" w:hAnsi="Times New Roman" w:eastAsia="楷体"/>
          <w:b/>
        </w:rPr>
      </w:pPr>
      <w:r>
        <w:rPr>
          <w:rFonts w:hint="eastAsia" w:ascii="Times New Roman" w:hAnsi="Times New Roman" w:eastAsia="楷体"/>
          <w:b/>
          <w:color w:val="823C0B"/>
          <w:sz w:val="30"/>
          <w:szCs w:val="30"/>
        </w:rPr>
        <w:t>评论品种一览</w:t>
      </w:r>
    </w:p>
    <w:sdt>
      <w:sdtPr>
        <w:rPr>
          <w:rFonts w:eastAsia="宋体" w:asciiTheme="minorHAnsi" w:hAnsiTheme="minorHAnsi" w:cstheme="minorBidi"/>
          <w:b/>
          <w:bCs/>
          <w:color w:val="auto"/>
          <w:kern w:val="2"/>
          <w:sz w:val="21"/>
          <w:szCs w:val="21"/>
          <w:lang w:val="zh-CN"/>
        </w:rPr>
        <w:id w:val="1355533930"/>
        <w:docPartObj>
          <w:docPartGallery w:val="Table of Contents"/>
          <w:docPartUnique/>
        </w:docPartObj>
      </w:sdtPr>
      <w:sdtEndPr>
        <w:rPr>
          <w:rFonts w:eastAsia="宋体" w:asciiTheme="minorHAnsi" w:hAnsiTheme="minorHAnsi" w:cstheme="minorBidi"/>
          <w:b/>
          <w:bCs/>
          <w:color w:val="auto"/>
          <w:kern w:val="2"/>
          <w:sz w:val="21"/>
          <w:szCs w:val="21"/>
          <w:lang w:val="zh-CN"/>
        </w:rPr>
      </w:sdtEndPr>
      <w:sdtContent>
        <w:p>
          <w:pPr>
            <w:pStyle w:val="98"/>
            <w:rPr>
              <w:b/>
              <w:bCs/>
            </w:rPr>
          </w:pPr>
          <w:bookmarkStart w:id="47" w:name="_GoBack"/>
          <w:bookmarkEnd w:id="47"/>
        </w:p>
        <w:p>
          <w:pPr>
            <w:pStyle w:val="59"/>
            <w:tabs>
              <w:tab w:val="right" w:leader="dot" w:pos="8306"/>
            </w:tabs>
          </w:pPr>
          <w:r>
            <w:rPr>
              <w:b/>
              <w:bCs/>
            </w:rPr>
            <w:fldChar w:fldCharType="begin"/>
          </w:r>
          <w:r>
            <w:rPr>
              <w:b/>
              <w:bCs/>
            </w:rPr>
            <w:instrText xml:space="preserve"> TOC \o "1-3" \n \h \z \u </w:instrText>
          </w:r>
          <w:r>
            <w:rPr>
              <w:b/>
              <w:bCs/>
            </w:rPr>
            <w:fldChar w:fldCharType="separate"/>
          </w:r>
          <w:r>
            <w:rPr>
              <w:bCs/>
            </w:rPr>
            <w:fldChar w:fldCharType="begin"/>
          </w:r>
          <w:r>
            <w:rPr>
              <w:bCs/>
            </w:rPr>
            <w:instrText xml:space="preserve"> HYPERLINK \l _Toc16931 </w:instrText>
          </w:r>
          <w:r>
            <w:rPr>
              <w:bCs/>
            </w:rPr>
            <w:fldChar w:fldCharType="separate"/>
          </w:r>
          <w:r>
            <w:rPr>
              <w:rFonts w:hint="eastAsia" w:ascii="Times New Roman" w:hAnsi="Times New Roman" w:eastAsia="楷体"/>
              <w:szCs w:val="30"/>
            </w:rPr>
            <w:t>[金融]</w:t>
          </w:r>
          <w:r>
            <w:rPr>
              <w:bCs/>
            </w:rPr>
            <w:fldChar w:fldCharType="end"/>
          </w:r>
        </w:p>
        <w:p>
          <w:pPr>
            <w:pStyle w:val="74"/>
            <w:tabs>
              <w:tab w:val="right" w:leader="dot" w:pos="8306"/>
            </w:tabs>
          </w:pPr>
          <w:r>
            <w:rPr>
              <w:bCs/>
            </w:rPr>
            <w:fldChar w:fldCharType="begin"/>
          </w:r>
          <w:r>
            <w:rPr>
              <w:bCs/>
            </w:rPr>
            <w:instrText xml:space="preserve"> HYPERLINK \l _Toc5573 </w:instrText>
          </w:r>
          <w:r>
            <w:rPr>
              <w:bCs/>
            </w:rPr>
            <w:fldChar w:fldCharType="separate"/>
          </w:r>
          <w:r>
            <w:rPr>
              <w:rFonts w:hint="eastAsia" w:ascii="Times New Roman" w:hAnsi="Times New Roman" w:eastAsia="楷体"/>
              <w:szCs w:val="24"/>
            </w:rPr>
            <w:t>股指：多IF空IM组合继续持有</w:t>
          </w:r>
          <w:r>
            <w:rPr>
              <w:bCs/>
            </w:rPr>
            <w:fldChar w:fldCharType="end"/>
          </w:r>
        </w:p>
        <w:p>
          <w:pPr>
            <w:pStyle w:val="59"/>
            <w:tabs>
              <w:tab w:val="right" w:leader="dot" w:pos="8306"/>
            </w:tabs>
          </w:pPr>
          <w:r>
            <w:rPr>
              <w:bCs/>
            </w:rPr>
            <w:fldChar w:fldCharType="begin"/>
          </w:r>
          <w:r>
            <w:rPr>
              <w:bCs/>
            </w:rPr>
            <w:instrText xml:space="preserve"> HYPERLINK \l _Toc30947 </w:instrText>
          </w:r>
          <w:r>
            <w:rPr>
              <w:bCs/>
            </w:rPr>
            <w:fldChar w:fldCharType="separate"/>
          </w:r>
          <w:r>
            <w:rPr>
              <w:rFonts w:hint="eastAsia" w:ascii="Times New Roman" w:hAnsi="Times New Roman" w:eastAsia="楷体"/>
              <w:szCs w:val="30"/>
            </w:rPr>
            <w:t>[贵金属]</w:t>
          </w:r>
          <w:r>
            <w:rPr>
              <w:bCs/>
            </w:rPr>
            <w:fldChar w:fldCharType="end"/>
          </w:r>
        </w:p>
        <w:p>
          <w:pPr>
            <w:pStyle w:val="74"/>
            <w:tabs>
              <w:tab w:val="right" w:leader="dot" w:pos="8306"/>
            </w:tabs>
          </w:pPr>
          <w:r>
            <w:rPr>
              <w:bCs/>
            </w:rPr>
            <w:fldChar w:fldCharType="begin"/>
          </w:r>
          <w:r>
            <w:rPr>
              <w:bCs/>
            </w:rPr>
            <w:instrText xml:space="preserve"> HYPERLINK \l _Toc8429 </w:instrText>
          </w:r>
          <w:r>
            <w:rPr>
              <w:bCs/>
            </w:rPr>
            <w:fldChar w:fldCharType="separate"/>
          </w:r>
          <w:r>
            <w:rPr>
              <w:rFonts w:hint="eastAsia" w:ascii="Times New Roman" w:hAnsi="Times New Roman" w:eastAsia="楷体"/>
              <w:szCs w:val="24"/>
            </w:rPr>
            <w:t>贵金属：美国3月非农就业超预期，贵金属价格维持涨势</w:t>
          </w:r>
          <w:r>
            <w:rPr>
              <w:bCs/>
            </w:rPr>
            <w:fldChar w:fldCharType="end"/>
          </w:r>
        </w:p>
        <w:p>
          <w:pPr>
            <w:pStyle w:val="59"/>
            <w:tabs>
              <w:tab w:val="right" w:leader="dot" w:pos="8306"/>
            </w:tabs>
          </w:pPr>
          <w:r>
            <w:rPr>
              <w:bCs/>
            </w:rPr>
            <w:fldChar w:fldCharType="begin"/>
          </w:r>
          <w:r>
            <w:rPr>
              <w:bCs/>
            </w:rPr>
            <w:instrText xml:space="preserve"> HYPERLINK \l _Toc12883 </w:instrText>
          </w:r>
          <w:r>
            <w:rPr>
              <w:bCs/>
            </w:rPr>
            <w:fldChar w:fldCharType="separate"/>
          </w:r>
          <w:r>
            <w:rPr>
              <w:rFonts w:hint="eastAsia" w:ascii="Times New Roman" w:hAnsi="Times New Roman" w:eastAsia="楷体"/>
              <w:szCs w:val="30"/>
            </w:rPr>
            <w:t>[金属]</w:t>
          </w:r>
          <w:r>
            <w:rPr>
              <w:bCs/>
            </w:rPr>
            <w:fldChar w:fldCharType="end"/>
          </w:r>
        </w:p>
        <w:p>
          <w:pPr>
            <w:pStyle w:val="74"/>
            <w:tabs>
              <w:tab w:val="right" w:leader="dot" w:pos="8306"/>
            </w:tabs>
          </w:pPr>
          <w:r>
            <w:rPr>
              <w:bCs/>
            </w:rPr>
            <w:fldChar w:fldCharType="begin"/>
          </w:r>
          <w:r>
            <w:rPr>
              <w:bCs/>
            </w:rPr>
            <w:instrText xml:space="preserve"> HYPERLINK \l _Toc10370 </w:instrText>
          </w:r>
          <w:r>
            <w:rPr>
              <w:bCs/>
            </w:rPr>
            <w:fldChar w:fldCharType="separate"/>
          </w:r>
          <w:r>
            <w:rPr>
              <w:rFonts w:hint="eastAsia" w:ascii="楷体" w:hAnsi="楷体" w:eastAsia="楷体"/>
              <w:szCs w:val="24"/>
            </w:rPr>
            <w:t>碳酸锂：3月新能源车销量同环比高增，期价小幅收涨</w:t>
          </w:r>
          <w:r>
            <w:rPr>
              <w:bCs/>
            </w:rPr>
            <w:fldChar w:fldCharType="end"/>
          </w:r>
        </w:p>
        <w:p>
          <w:pPr>
            <w:pStyle w:val="74"/>
            <w:tabs>
              <w:tab w:val="right" w:leader="dot" w:pos="8306"/>
            </w:tabs>
          </w:pPr>
          <w:r>
            <w:rPr>
              <w:bCs/>
            </w:rPr>
            <w:fldChar w:fldCharType="begin"/>
          </w:r>
          <w:r>
            <w:rPr>
              <w:bCs/>
            </w:rPr>
            <w:instrText xml:space="preserve"> HYPERLINK \l _Toc12803 </w:instrText>
          </w:r>
          <w:r>
            <w:rPr>
              <w:bCs/>
            </w:rPr>
            <w:fldChar w:fldCharType="separate"/>
          </w:r>
          <w:r>
            <w:rPr>
              <w:rFonts w:hint="eastAsia" w:ascii="楷体" w:hAnsi="楷体" w:eastAsia="楷体"/>
              <w:szCs w:val="24"/>
            </w:rPr>
            <w:t>铜：短期维持偏强，关注国内库存变化</w:t>
          </w:r>
          <w:r>
            <w:rPr>
              <w:bCs/>
            </w:rPr>
            <w:fldChar w:fldCharType="end"/>
          </w:r>
        </w:p>
        <w:p>
          <w:pPr>
            <w:pStyle w:val="74"/>
            <w:tabs>
              <w:tab w:val="right" w:leader="dot" w:pos="8306"/>
            </w:tabs>
          </w:pPr>
          <w:r>
            <w:rPr>
              <w:bCs/>
            </w:rPr>
            <w:fldChar w:fldCharType="begin"/>
          </w:r>
          <w:r>
            <w:rPr>
              <w:bCs/>
            </w:rPr>
            <w:instrText xml:space="preserve"> HYPERLINK \l _Toc20424 </w:instrText>
          </w:r>
          <w:r>
            <w:rPr>
              <w:bCs/>
            </w:rPr>
            <w:fldChar w:fldCharType="separate"/>
          </w:r>
          <w:r>
            <w:rPr>
              <w:rFonts w:hint="eastAsia" w:ascii="楷体" w:hAnsi="楷体" w:eastAsia="楷体"/>
              <w:szCs w:val="24"/>
            </w:rPr>
            <w:t>铝：铝价保持高位运行</w:t>
          </w:r>
          <w:r>
            <w:rPr>
              <w:bCs/>
            </w:rPr>
            <w:fldChar w:fldCharType="end"/>
          </w:r>
        </w:p>
        <w:p>
          <w:pPr>
            <w:pStyle w:val="74"/>
            <w:tabs>
              <w:tab w:val="right" w:leader="dot" w:pos="8306"/>
            </w:tabs>
          </w:pPr>
          <w:r>
            <w:rPr>
              <w:bCs/>
            </w:rPr>
            <w:fldChar w:fldCharType="begin"/>
          </w:r>
          <w:r>
            <w:rPr>
              <w:bCs/>
            </w:rPr>
            <w:instrText xml:space="preserve"> HYPERLINK \l _Toc3147 </w:instrText>
          </w:r>
          <w:r>
            <w:rPr>
              <w:bCs/>
            </w:rPr>
            <w:fldChar w:fldCharType="separate"/>
          </w:r>
          <w:r>
            <w:rPr>
              <w:rFonts w:hint="eastAsia" w:ascii="楷体" w:hAnsi="楷体" w:eastAsia="楷体"/>
              <w:szCs w:val="24"/>
            </w:rPr>
            <w:t>锌：预测锌价上冲后承压回落主震荡区间运行</w:t>
          </w:r>
          <w:r>
            <w:rPr>
              <w:bCs/>
            </w:rPr>
            <w:fldChar w:fldCharType="end"/>
          </w:r>
        </w:p>
        <w:p>
          <w:pPr>
            <w:pStyle w:val="74"/>
            <w:tabs>
              <w:tab w:val="right" w:leader="dot" w:pos="8306"/>
            </w:tabs>
          </w:pPr>
          <w:r>
            <w:rPr>
              <w:bCs/>
            </w:rPr>
            <w:fldChar w:fldCharType="begin"/>
          </w:r>
          <w:r>
            <w:rPr>
              <w:bCs/>
            </w:rPr>
            <w:instrText xml:space="preserve"> HYPERLINK \l _Toc1847 </w:instrText>
          </w:r>
          <w:r>
            <w:rPr>
              <w:bCs/>
            </w:rPr>
            <w:fldChar w:fldCharType="separate"/>
          </w:r>
          <w:r>
            <w:rPr>
              <w:rFonts w:hint="eastAsia" w:ascii="楷体" w:hAnsi="楷体" w:eastAsia="楷体"/>
              <w:szCs w:val="24"/>
            </w:rPr>
            <w:t>镍：短期镍价暂无持续反弹动能</w:t>
          </w:r>
          <w:r>
            <w:rPr>
              <w:bCs/>
            </w:rPr>
            <w:fldChar w:fldCharType="end"/>
          </w:r>
        </w:p>
        <w:p>
          <w:pPr>
            <w:pStyle w:val="74"/>
            <w:tabs>
              <w:tab w:val="right" w:leader="dot" w:pos="8306"/>
            </w:tabs>
          </w:pPr>
          <w:r>
            <w:rPr>
              <w:bCs/>
            </w:rPr>
            <w:fldChar w:fldCharType="begin"/>
          </w:r>
          <w:r>
            <w:rPr>
              <w:bCs/>
            </w:rPr>
            <w:instrText xml:space="preserve"> HYPERLINK \l _Toc28486 </w:instrText>
          </w:r>
          <w:r>
            <w:rPr>
              <w:bCs/>
            </w:rPr>
            <w:fldChar w:fldCharType="separate"/>
          </w:r>
          <w:r>
            <w:rPr>
              <w:rFonts w:hint="eastAsia" w:ascii="楷体" w:hAnsi="楷体" w:eastAsia="楷体"/>
              <w:szCs w:val="24"/>
            </w:rPr>
            <w:t>不锈钢：供需矛盾明显，期待减产动作</w:t>
          </w:r>
          <w:r>
            <w:rPr>
              <w:bCs/>
            </w:rPr>
            <w:fldChar w:fldCharType="end"/>
          </w:r>
        </w:p>
        <w:p>
          <w:pPr>
            <w:pStyle w:val="74"/>
            <w:tabs>
              <w:tab w:val="right" w:leader="dot" w:pos="8306"/>
            </w:tabs>
          </w:pPr>
          <w:r>
            <w:rPr>
              <w:bCs/>
            </w:rPr>
            <w:fldChar w:fldCharType="begin"/>
          </w:r>
          <w:r>
            <w:rPr>
              <w:bCs/>
            </w:rPr>
            <w:instrText xml:space="preserve"> HYPERLINK \l _Toc11796 </w:instrText>
          </w:r>
          <w:r>
            <w:rPr>
              <w:bCs/>
            </w:rPr>
            <w:fldChar w:fldCharType="separate"/>
          </w:r>
          <w:r>
            <w:rPr>
              <w:rFonts w:hint="eastAsia" w:ascii="楷体" w:hAnsi="楷体" w:eastAsia="楷体"/>
              <w:szCs w:val="24"/>
            </w:rPr>
            <w:t>工业硅：成本支撑下，盘面阶段性止跌企稳</w:t>
          </w:r>
          <w:r>
            <w:rPr>
              <w:bCs/>
            </w:rPr>
            <w:fldChar w:fldCharType="end"/>
          </w:r>
        </w:p>
        <w:p>
          <w:pPr>
            <w:pStyle w:val="59"/>
            <w:tabs>
              <w:tab w:val="right" w:leader="dot" w:pos="8306"/>
            </w:tabs>
          </w:pPr>
          <w:r>
            <w:rPr>
              <w:bCs/>
            </w:rPr>
            <w:fldChar w:fldCharType="begin"/>
          </w:r>
          <w:r>
            <w:rPr>
              <w:bCs/>
            </w:rPr>
            <w:instrText xml:space="preserve"> HYPERLINK \l _Toc18538 </w:instrText>
          </w:r>
          <w:r>
            <w:rPr>
              <w:bCs/>
            </w:rPr>
            <w:fldChar w:fldCharType="separate"/>
          </w:r>
          <w:r>
            <w:rPr>
              <w:rFonts w:hint="eastAsia" w:ascii="Times New Roman" w:hAnsi="Times New Roman" w:eastAsia="楷体"/>
              <w:szCs w:val="30"/>
            </w:rPr>
            <w:t>[化工]</w:t>
          </w:r>
          <w:r>
            <w:rPr>
              <w:bCs/>
            </w:rPr>
            <w:fldChar w:fldCharType="end"/>
          </w:r>
        </w:p>
        <w:p>
          <w:pPr>
            <w:pStyle w:val="74"/>
            <w:tabs>
              <w:tab w:val="right" w:leader="dot" w:pos="8306"/>
            </w:tabs>
          </w:pPr>
          <w:r>
            <w:rPr>
              <w:bCs/>
            </w:rPr>
            <w:fldChar w:fldCharType="begin"/>
          </w:r>
          <w:r>
            <w:rPr>
              <w:bCs/>
            </w:rPr>
            <w:instrText xml:space="preserve"> HYPERLINK \l _Toc539 </w:instrText>
          </w:r>
          <w:r>
            <w:rPr>
              <w:bCs/>
            </w:rPr>
            <w:fldChar w:fldCharType="separate"/>
          </w:r>
          <w:r>
            <w:rPr>
              <w:rFonts w:hint="eastAsia" w:ascii="Times New Roman" w:hAnsi="Times New Roman" w:eastAsia="楷体"/>
              <w:szCs w:val="24"/>
            </w:rPr>
            <w:t>天然橡胶:</w:t>
          </w:r>
          <w:r>
            <w:rPr>
              <w:rFonts w:hint="eastAsia" w:ascii="Times New Roman" w:hAnsi="Times New Roman" w:eastAsia="楷体"/>
              <w:szCs w:val="24"/>
              <w:lang w:val="en-US" w:eastAsia="zh-CN"/>
            </w:rPr>
            <w:t>基本面大稳小动，橡胶在大跌后短线或企稳回暖</w:t>
          </w:r>
          <w:r>
            <w:rPr>
              <w:bCs/>
            </w:rPr>
            <w:fldChar w:fldCharType="end"/>
          </w:r>
        </w:p>
        <w:p>
          <w:pPr>
            <w:pStyle w:val="74"/>
            <w:tabs>
              <w:tab w:val="right" w:leader="dot" w:pos="8306"/>
            </w:tabs>
          </w:pPr>
          <w:r>
            <w:rPr>
              <w:bCs/>
            </w:rPr>
            <w:fldChar w:fldCharType="begin"/>
          </w:r>
          <w:r>
            <w:rPr>
              <w:bCs/>
            </w:rPr>
            <w:instrText xml:space="preserve"> HYPERLINK \l _Toc21531 </w:instrText>
          </w:r>
          <w:r>
            <w:rPr>
              <w:bCs/>
            </w:rPr>
            <w:fldChar w:fldCharType="separate"/>
          </w:r>
          <w:r>
            <w:rPr>
              <w:rFonts w:hint="eastAsia" w:ascii="楷体" w:hAnsi="楷体" w:eastAsia="楷体"/>
              <w:szCs w:val="24"/>
            </w:rPr>
            <w:t>聚烯烃：市场多空因素交织，PE整体强于PP</w:t>
          </w:r>
          <w:r>
            <w:rPr>
              <w:bCs/>
            </w:rPr>
            <w:fldChar w:fldCharType="end"/>
          </w:r>
        </w:p>
        <w:p>
          <w:pPr>
            <w:pStyle w:val="74"/>
            <w:tabs>
              <w:tab w:val="right" w:leader="dot" w:pos="8306"/>
            </w:tabs>
          </w:pPr>
          <w:r>
            <w:rPr>
              <w:bCs/>
            </w:rPr>
            <w:fldChar w:fldCharType="begin"/>
          </w:r>
          <w:r>
            <w:rPr>
              <w:bCs/>
            </w:rPr>
            <w:instrText xml:space="preserve"> HYPERLINK \l _Toc21842 </w:instrText>
          </w:r>
          <w:r>
            <w:rPr>
              <w:bCs/>
            </w:rPr>
            <w:fldChar w:fldCharType="separate"/>
          </w:r>
          <w:r>
            <w:rPr>
              <w:rFonts w:hint="eastAsia" w:ascii="楷体" w:hAnsi="楷体" w:eastAsia="楷体"/>
              <w:szCs w:val="24"/>
            </w:rPr>
            <w:t>玻璃：清明假期产销较好，短期有反弹</w:t>
          </w:r>
          <w:r>
            <w:rPr>
              <w:bCs/>
            </w:rPr>
            <w:fldChar w:fldCharType="end"/>
          </w:r>
        </w:p>
        <w:p>
          <w:pPr>
            <w:pStyle w:val="74"/>
            <w:tabs>
              <w:tab w:val="right" w:leader="dot" w:pos="8306"/>
            </w:tabs>
          </w:pPr>
          <w:r>
            <w:rPr>
              <w:bCs/>
            </w:rPr>
            <w:fldChar w:fldCharType="begin"/>
          </w:r>
          <w:r>
            <w:rPr>
              <w:bCs/>
            </w:rPr>
            <w:instrText xml:space="preserve"> HYPERLINK \l _Toc20147 </w:instrText>
          </w:r>
          <w:r>
            <w:rPr>
              <w:bCs/>
            </w:rPr>
            <w:fldChar w:fldCharType="separate"/>
          </w:r>
          <w:r>
            <w:rPr>
              <w:rFonts w:hint="eastAsia" w:ascii="楷体" w:hAnsi="楷体" w:eastAsia="楷体"/>
              <w:szCs w:val="24"/>
            </w:rPr>
            <w:t>纯碱：清明假期继续累库，期价反弹承压</w:t>
          </w:r>
          <w:r>
            <w:rPr>
              <w:bCs/>
            </w:rPr>
            <w:fldChar w:fldCharType="end"/>
          </w:r>
        </w:p>
        <w:p>
          <w:pPr>
            <w:pStyle w:val="74"/>
            <w:tabs>
              <w:tab w:val="right" w:leader="dot" w:pos="8306"/>
            </w:tabs>
          </w:pPr>
          <w:r>
            <w:rPr>
              <w:bCs/>
            </w:rPr>
            <w:fldChar w:fldCharType="begin"/>
          </w:r>
          <w:r>
            <w:rPr>
              <w:bCs/>
            </w:rPr>
            <w:instrText xml:space="preserve"> HYPERLINK \l _Toc880 </w:instrText>
          </w:r>
          <w:r>
            <w:rPr>
              <w:bCs/>
            </w:rPr>
            <w:fldChar w:fldCharType="separate"/>
          </w:r>
          <w:r>
            <w:rPr>
              <w:rFonts w:hint="eastAsia" w:ascii="Times New Roman" w:hAnsi="Times New Roman" w:eastAsia="楷体"/>
              <w:szCs w:val="24"/>
            </w:rPr>
            <w:t>PTA：盘面走势震荡偏强</w:t>
          </w:r>
          <w:r>
            <w:rPr>
              <w:bCs/>
            </w:rPr>
            <w:fldChar w:fldCharType="end"/>
          </w:r>
        </w:p>
        <w:p>
          <w:pPr>
            <w:pStyle w:val="74"/>
            <w:tabs>
              <w:tab w:val="right" w:leader="dot" w:pos="8306"/>
            </w:tabs>
          </w:pPr>
          <w:r>
            <w:rPr>
              <w:bCs/>
            </w:rPr>
            <w:fldChar w:fldCharType="begin"/>
          </w:r>
          <w:r>
            <w:rPr>
              <w:bCs/>
            </w:rPr>
            <w:instrText xml:space="preserve"> HYPERLINK \l _Toc31433 </w:instrText>
          </w:r>
          <w:r>
            <w:rPr>
              <w:bCs/>
            </w:rPr>
            <w:fldChar w:fldCharType="separate"/>
          </w:r>
          <w:r>
            <w:rPr>
              <w:rFonts w:hint="eastAsia" w:ascii="Times New Roman" w:hAnsi="Times New Roman" w:eastAsia="楷体"/>
              <w:szCs w:val="24"/>
            </w:rPr>
            <w:t>乙二醇：到港增多预期  短期价格震荡</w:t>
          </w:r>
          <w:r>
            <w:rPr>
              <w:bCs/>
            </w:rPr>
            <w:fldChar w:fldCharType="end"/>
          </w:r>
        </w:p>
        <w:p>
          <w:pPr>
            <w:pStyle w:val="59"/>
            <w:tabs>
              <w:tab w:val="right" w:leader="dot" w:pos="8306"/>
            </w:tabs>
          </w:pPr>
          <w:r>
            <w:rPr>
              <w:bCs/>
            </w:rPr>
            <w:fldChar w:fldCharType="begin"/>
          </w:r>
          <w:r>
            <w:rPr>
              <w:bCs/>
            </w:rPr>
            <w:instrText xml:space="preserve"> HYPERLINK \l _Toc11135 </w:instrText>
          </w:r>
          <w:r>
            <w:rPr>
              <w:bCs/>
            </w:rPr>
            <w:fldChar w:fldCharType="separate"/>
          </w:r>
          <w:r>
            <w:rPr>
              <w:rFonts w:hint="eastAsia" w:ascii="Times New Roman" w:hAnsi="Times New Roman" w:eastAsia="楷体"/>
              <w:szCs w:val="30"/>
            </w:rPr>
            <w:t>[农产品]</w:t>
          </w:r>
          <w:r>
            <w:rPr>
              <w:bCs/>
            </w:rPr>
            <w:fldChar w:fldCharType="end"/>
          </w:r>
        </w:p>
        <w:p>
          <w:pPr>
            <w:pStyle w:val="74"/>
            <w:tabs>
              <w:tab w:val="right" w:leader="dot" w:pos="8306"/>
            </w:tabs>
          </w:pPr>
          <w:r>
            <w:rPr>
              <w:bCs/>
            </w:rPr>
            <w:fldChar w:fldCharType="begin"/>
          </w:r>
          <w:r>
            <w:rPr>
              <w:bCs/>
            </w:rPr>
            <w:instrText xml:space="preserve"> HYPERLINK \l _Toc3782 </w:instrText>
          </w:r>
          <w:r>
            <w:rPr>
              <w:bCs/>
            </w:rPr>
            <w:fldChar w:fldCharType="separate"/>
          </w:r>
          <w:r>
            <w:rPr>
              <w:rFonts w:hint="eastAsia" w:ascii="楷体" w:hAnsi="楷体" w:eastAsia="楷体"/>
              <w:bCs/>
            </w:rPr>
            <w:t>玉米与淀粉：</w:t>
          </w:r>
          <w:r>
            <w:rPr>
              <w:rFonts w:hint="eastAsia" w:ascii="楷体" w:hAnsi="楷体" w:eastAsia="楷体"/>
            </w:rPr>
            <w:t>期价震荡反弹</w:t>
          </w:r>
          <w:r>
            <w:rPr>
              <w:bCs/>
            </w:rPr>
            <w:fldChar w:fldCharType="end"/>
          </w:r>
        </w:p>
        <w:p>
          <w:pPr>
            <w:pStyle w:val="74"/>
            <w:tabs>
              <w:tab w:val="right" w:leader="dot" w:pos="8306"/>
            </w:tabs>
          </w:pPr>
          <w:r>
            <w:rPr>
              <w:bCs/>
            </w:rPr>
            <w:fldChar w:fldCharType="begin"/>
          </w:r>
          <w:r>
            <w:rPr>
              <w:bCs/>
            </w:rPr>
            <w:instrText xml:space="preserve"> HYPERLINK \l _Toc6059 </w:instrText>
          </w:r>
          <w:r>
            <w:rPr>
              <w:bCs/>
            </w:rPr>
            <w:fldChar w:fldCharType="separate"/>
          </w:r>
          <w:r>
            <w:rPr>
              <w:rFonts w:hint="eastAsia" w:ascii="楷体" w:hAnsi="楷体" w:eastAsia="楷体"/>
              <w:bCs/>
            </w:rPr>
            <w:t>畜禽养殖：期价继续近弱远强</w:t>
          </w:r>
          <w:r>
            <w:rPr>
              <w:bCs/>
            </w:rPr>
            <w:fldChar w:fldCharType="end"/>
          </w:r>
        </w:p>
        <w:p>
          <w:pPr>
            <w:pStyle w:val="74"/>
            <w:tabs>
              <w:tab w:val="right" w:leader="dot" w:pos="8306"/>
            </w:tabs>
          </w:pPr>
          <w:r>
            <w:rPr>
              <w:bCs/>
            </w:rPr>
            <w:fldChar w:fldCharType="begin"/>
          </w:r>
          <w:r>
            <w:rPr>
              <w:bCs/>
            </w:rPr>
            <w:instrText xml:space="preserve"> HYPERLINK \l _Toc27652 </w:instrText>
          </w:r>
          <w:r>
            <w:rPr>
              <w:bCs/>
            </w:rPr>
            <w:fldChar w:fldCharType="separate"/>
          </w:r>
          <w:r>
            <w:rPr>
              <w:rFonts w:hint="eastAsia" w:ascii="楷体" w:hAnsi="楷体" w:eastAsia="楷体"/>
              <w:bCs/>
            </w:rPr>
            <w:t>白糖：涨跌反复，持续观望</w:t>
          </w:r>
          <w:r>
            <w:rPr>
              <w:bCs/>
            </w:rPr>
            <w:fldChar w:fldCharType="end"/>
          </w:r>
        </w:p>
        <w:p>
          <w:pPr>
            <w:pStyle w:val="59"/>
            <w:tabs>
              <w:tab w:val="right" w:leader="dot" w:pos="8306"/>
            </w:tabs>
          </w:pPr>
          <w:r>
            <w:rPr>
              <w:bCs/>
            </w:rPr>
            <w:fldChar w:fldCharType="begin"/>
          </w:r>
          <w:r>
            <w:rPr>
              <w:bCs/>
            </w:rPr>
            <w:instrText xml:space="preserve"> HYPERLINK \l _Toc19538 </w:instrText>
          </w:r>
          <w:r>
            <w:rPr>
              <w:bCs/>
            </w:rPr>
            <w:fldChar w:fldCharType="separate"/>
          </w:r>
          <w:r>
            <w:rPr>
              <w:rFonts w:hint="eastAsia" w:ascii="Times New Roman" w:hAnsi="Times New Roman" w:eastAsia="楷体"/>
              <w:szCs w:val="30"/>
            </w:rPr>
            <w:t>[指数]</w:t>
          </w:r>
          <w:r>
            <w:rPr>
              <w:bCs/>
            </w:rPr>
            <w:fldChar w:fldCharType="end"/>
          </w:r>
        </w:p>
        <w:p>
          <w:pPr>
            <w:pStyle w:val="74"/>
            <w:tabs>
              <w:tab w:val="right" w:leader="dot" w:pos="8306"/>
            </w:tabs>
          </w:pPr>
          <w:r>
            <w:rPr>
              <w:bCs/>
            </w:rPr>
            <w:fldChar w:fldCharType="begin"/>
          </w:r>
          <w:r>
            <w:rPr>
              <w:bCs/>
            </w:rPr>
            <w:instrText xml:space="preserve"> HYPERLINK \l _Toc21518 </w:instrText>
          </w:r>
          <w:r>
            <w:rPr>
              <w:bCs/>
            </w:rPr>
            <w:fldChar w:fldCharType="separate"/>
          </w:r>
          <w:r>
            <w:rPr>
              <w:rFonts w:hint="eastAsia" w:ascii="Times New Roman" w:hAnsi="Times New Roman" w:eastAsia="楷体"/>
              <w:szCs w:val="24"/>
            </w:rPr>
            <w:t>集运指数（欧线）：船司提价基本完成，EC走向短期偏强</w:t>
          </w:r>
          <w:r>
            <w:rPr>
              <w:bCs/>
            </w:rPr>
            <w:fldChar w:fldCharType="end"/>
          </w:r>
        </w:p>
        <w:p>
          <w:pPr>
            <w:pStyle w:val="59"/>
            <w:tabs>
              <w:tab w:val="right" w:leader="dot" w:pos="8296"/>
            </w:tabs>
            <w:rPr>
              <w:rFonts w:eastAsiaTheme="minorEastAsia"/>
              <w:szCs w:val="22"/>
            </w:rPr>
          </w:pPr>
          <w:r>
            <w:rPr>
              <w:bCs/>
            </w:rPr>
            <w:fldChar w:fldCharType="end"/>
          </w:r>
        </w:p>
      </w:sdtContent>
    </w:sdt>
    <w:p>
      <w:pPr>
        <w:jc w:val="center"/>
        <w:rPr>
          <w:rFonts w:ascii="Times New Roman" w:hAnsi="Times New Roman" w:eastAsia="楷体" w:cs="Times New Roman"/>
          <w:color w:val="823C0B"/>
        </w:rPr>
        <w:sectPr>
          <w:headerReference r:id="rId4" w:type="first"/>
          <w:headerReference r:id="rId3" w:type="default"/>
          <w:footerReference r:id="rId5" w:type="default"/>
          <w:pgSz w:w="11906" w:h="16838"/>
          <w:pgMar w:top="1440" w:right="1800" w:bottom="1440" w:left="1800" w:header="850" w:footer="1077" w:gutter="0"/>
          <w:cols w:space="425" w:num="1"/>
          <w:titlePg/>
          <w:docGrid w:type="lines" w:linePitch="312" w:charSpace="0"/>
        </w:sectPr>
      </w:pPr>
      <w:r>
        <w:rPr>
          <w:rFonts w:hint="eastAsia" w:ascii="Times New Roman" w:hAnsi="Times New Roman" w:eastAsia="楷体" w:cs="Times New Roman"/>
          <w:color w:val="823C0B"/>
        </w:rPr>
        <w:t>本文观点、结论和建议等仅供参考，并不构成操作依据！请阅读文末免责声明。</w:t>
      </w:r>
    </w:p>
    <w:p>
      <w:pPr>
        <w:rPr>
          <w:rFonts w:ascii="Times New Roman" w:hAnsi="Times New Roman" w:eastAsia="楷体" w:cs="Times New Roman"/>
          <w:b/>
          <w:color w:val="823C0B"/>
          <w:sz w:val="24"/>
        </w:rPr>
      </w:pPr>
    </w:p>
    <w:p>
      <w:pPr>
        <w:jc w:val="center"/>
        <w:rPr>
          <w:rFonts w:ascii="Times New Roman" w:hAnsi="Times New Roman" w:eastAsia="楷体"/>
          <w:b/>
          <w:color w:val="823C0B"/>
          <w:sz w:val="30"/>
          <w:szCs w:val="30"/>
        </w:rPr>
      </w:pPr>
      <w:r>
        <w:rPr>
          <w:rFonts w:hint="eastAsia" w:ascii="Times New Roman" w:hAnsi="Times New Roman" w:eastAsia="楷体"/>
          <w:b/>
          <w:color w:val="823C0B"/>
          <w:sz w:val="30"/>
          <w:szCs w:val="30"/>
        </w:rPr>
        <w:t>本日早评</w:t>
      </w:r>
    </w:p>
    <w:p>
      <w:pPr>
        <w:pBdr>
          <w:top w:val="single" w:color="auto" w:sz="4" w:space="0"/>
        </w:pBdr>
        <w:outlineLvl w:val="0"/>
        <w:rPr>
          <w:rFonts w:ascii="Times New Roman" w:hAnsi="Times New Roman" w:eastAsia="楷体"/>
          <w:b/>
          <w:color w:val="823C0B"/>
        </w:rPr>
      </w:pPr>
      <w:bookmarkStart w:id="1" w:name="_Toc19317"/>
      <w:bookmarkStart w:id="2" w:name="_Toc18033"/>
      <w:bookmarkStart w:id="3" w:name="_Toc16931"/>
      <w:bookmarkStart w:id="4" w:name="金融"/>
      <w:r>
        <w:rPr>
          <w:rFonts w:hint="eastAsia" w:ascii="Times New Roman" w:hAnsi="Times New Roman" w:eastAsia="楷体"/>
          <w:b/>
          <w:color w:val="823C0B"/>
          <w:sz w:val="30"/>
          <w:szCs w:val="30"/>
        </w:rPr>
        <w:t>[金融]</w:t>
      </w:r>
      <w:bookmarkEnd w:id="1"/>
      <w:bookmarkEnd w:id="2"/>
      <w:bookmarkEnd w:id="3"/>
    </w:p>
    <w:bookmarkEnd w:id="4"/>
    <w:p>
      <w:pPr>
        <w:ind w:left="420" w:leftChars="200"/>
        <w:outlineLvl w:val="1"/>
        <w:rPr>
          <w:rFonts w:ascii="Times New Roman" w:hAnsi="Times New Roman" w:eastAsia="楷体"/>
          <w:b/>
          <w:color w:val="000000" w:themeColor="text1"/>
          <w:sz w:val="24"/>
          <w:szCs w:val="24"/>
          <w14:textFill>
            <w14:solidFill>
              <w14:schemeClr w14:val="tx1"/>
            </w14:solidFill>
          </w14:textFill>
        </w:rPr>
      </w:pPr>
      <w:bookmarkStart w:id="5" w:name="_Toc965"/>
      <w:bookmarkStart w:id="6" w:name="_Toc16295"/>
      <w:bookmarkStart w:id="7" w:name="_Toc5573"/>
      <w:r>
        <w:rPr>
          <w:rFonts w:hint="eastAsia" w:ascii="Times New Roman" w:hAnsi="Times New Roman" w:eastAsia="楷体"/>
          <w:b/>
          <w:color w:val="000000" w:themeColor="text1"/>
          <w:sz w:val="24"/>
          <w:szCs w:val="24"/>
          <w14:textFill>
            <w14:solidFill>
              <w14:schemeClr w14:val="tx1"/>
            </w14:solidFill>
          </w14:textFill>
        </w:rPr>
        <w:t>股指：</w:t>
      </w:r>
      <w:bookmarkEnd w:id="5"/>
      <w:bookmarkEnd w:id="6"/>
      <w:r>
        <w:rPr>
          <w:rFonts w:hint="eastAsia" w:ascii="Times New Roman" w:hAnsi="Times New Roman" w:eastAsia="楷体"/>
          <w:b/>
          <w:color w:val="000000" w:themeColor="text1"/>
          <w:sz w:val="24"/>
          <w:szCs w:val="24"/>
          <w14:textFill>
            <w14:solidFill>
              <w14:schemeClr w14:val="tx1"/>
            </w14:solidFill>
          </w14:textFill>
        </w:rPr>
        <w:t>多IF空IM组合继续持有</w:t>
      </w:r>
      <w:bookmarkEnd w:id="7"/>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美国降息预期下修叠加地缘局势动荡，对供给侧逻辑影响仍较大，四月业绩披露期，市场避险情绪上升，围绕业绩及高股息线索展开交易，基本面方面后续经济金融数据能否持续超预期是关键。同时关注中美两国关系缓和后带来的交易机会，建议多IF空IM组合继续持有。</w:t>
      </w:r>
    </w:p>
    <w:p>
      <w:pPr>
        <w:ind w:left="630" w:leftChars="300"/>
        <w:rPr>
          <w:rFonts w:hint="eastAsia"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rPr>
      </w:pPr>
      <w:bookmarkStart w:id="8" w:name="_Toc30947"/>
      <w:r>
        <w:rPr>
          <w:rFonts w:hint="eastAsia" w:ascii="Times New Roman" w:hAnsi="Times New Roman" w:eastAsia="楷体"/>
          <w:b/>
          <w:color w:val="823C0B"/>
          <w:sz w:val="30"/>
          <w:szCs w:val="30"/>
        </w:rPr>
        <w:t>[贵金属]</w:t>
      </w:r>
      <w:bookmarkEnd w:id="8"/>
    </w:p>
    <w:p>
      <w:pPr>
        <w:ind w:left="420" w:leftChars="200"/>
        <w:outlineLvl w:val="1"/>
        <w:rPr>
          <w:rFonts w:hint="eastAsia" w:ascii="Times New Roman" w:hAnsi="Times New Roman" w:eastAsia="楷体"/>
          <w:b/>
          <w:color w:val="000000" w:themeColor="text1"/>
          <w:sz w:val="24"/>
          <w:szCs w:val="24"/>
          <w14:textFill>
            <w14:solidFill>
              <w14:schemeClr w14:val="tx1"/>
            </w14:solidFill>
          </w14:textFill>
        </w:rPr>
      </w:pPr>
      <w:bookmarkStart w:id="9" w:name="_Toc8429"/>
      <w:r>
        <w:rPr>
          <w:rFonts w:hint="eastAsia" w:ascii="Times New Roman" w:hAnsi="Times New Roman" w:eastAsia="楷体"/>
          <w:b/>
          <w:color w:val="000000" w:themeColor="text1"/>
          <w:sz w:val="24"/>
          <w:szCs w:val="24"/>
          <w14:textFill>
            <w14:solidFill>
              <w14:schemeClr w14:val="tx1"/>
            </w14:solidFill>
          </w14:textFill>
        </w:rPr>
        <w:t>贵金属：美国3月非农就业超预期，贵金属价格维持涨势</w:t>
      </w:r>
      <w:bookmarkEnd w:id="9"/>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沪金周涨3.12%至541.52元/克，沪银周涨5.71%至6791元/千克。外盘COMEX金价升至2349.1美元/盎司，COMEX银价升至27.6美元/盎司。美国3月新增非农就业人数录得增30.3万人，较上月而言上升3.3万人，高于此前预期。美国失业率增3.8%，较上月而言下行0.1个百分点；美国劳动参与率增62.7%，较上月而言上行0.2个百分点。美国非农私营平均时薪为34.69美元，时薪增速同比下降至增4.1%；环比回升至增0.3%。美联储理事鲍曼表示，仍然预期利率保持稳定，通胀会继续下降；现在还不是降低利率的时候；如果通胀进展停滞，仍愿意加息；过早降息可能导致通胀压力反弹。美联储洛根表示，考虑到通胀上行风险，认为现在谈论降息为时过早；缩减购债规模与政策限制性的适当程度考虑无关。美国3月ISM制造业PMI意外回升，3月非农数据表现好于预期，美联储官员讲话令市场降息预期略微后置，但贵金属价格仍维持涨势。避险情绪、央行持续购金、美联储降息预期升温等共同推动金价上涨，贵金属价格震荡中枢或逐步上移。</w:t>
      </w:r>
    </w:p>
    <w:p>
      <w:pPr>
        <w:ind w:left="630" w:leftChars="300"/>
        <w:rPr>
          <w:rFonts w:hint="eastAsia"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sz w:val="30"/>
          <w:szCs w:val="30"/>
        </w:rPr>
      </w:pPr>
      <w:bookmarkStart w:id="10" w:name="_Toc3096"/>
      <w:bookmarkStart w:id="11" w:name="金属"/>
      <w:bookmarkStart w:id="12" w:name="_Toc20891"/>
      <w:bookmarkStart w:id="13" w:name="_Toc12883"/>
      <w:bookmarkStart w:id="14" w:name="农产品"/>
      <w:r>
        <w:rPr>
          <w:rFonts w:hint="eastAsia" w:ascii="Times New Roman" w:hAnsi="Times New Roman" w:eastAsia="楷体"/>
          <w:b/>
          <w:color w:val="823C0B"/>
          <w:sz w:val="30"/>
          <w:szCs w:val="30"/>
        </w:rPr>
        <w:t>[金属]</w:t>
      </w:r>
      <w:bookmarkEnd w:id="10"/>
      <w:bookmarkEnd w:id="11"/>
      <w:bookmarkEnd w:id="12"/>
      <w:bookmarkEnd w:id="13"/>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15" w:name="_Toc10370"/>
      <w:bookmarkStart w:id="16" w:name="_Toc27831"/>
      <w:bookmarkStart w:id="17" w:name="_Toc5371"/>
      <w:r>
        <w:rPr>
          <w:rFonts w:hint="eastAsia" w:ascii="楷体" w:hAnsi="楷体" w:eastAsia="楷体"/>
          <w:b/>
          <w:color w:val="000000" w:themeColor="text1"/>
          <w:sz w:val="24"/>
          <w:szCs w:val="24"/>
          <w14:textFill>
            <w14:solidFill>
              <w14:schemeClr w14:val="tx1"/>
            </w14:solidFill>
          </w14:textFill>
        </w:rPr>
        <w:t>碳酸锂：3月新能源车销量同环比高增，期价小幅收涨</w:t>
      </w:r>
      <w:bookmarkEnd w:id="15"/>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上周三期价盘初小幅反弹，午后回吐部分涨幅，或因部分资金节前减仓，07合约收涨0.22%至111800元/吨，周四、周五因节假日休市。乘联会预估，3月全国新能源乘用车批发销量可达82万辆，同比增长33%，环比增长84%。据SMM消息，雅保4月2日进行了约100吨电池级碳酸锂的招标，最终结果为111,800元/吨，后续或于4月17日再次进行招标。近期部分大型锂企挺价情绪升温，下游需求向好、主要进行刚需采购，现货价格小幅上行。供需双增背景下，锂价或维持区间震荡。</w:t>
      </w:r>
    </w:p>
    <w:bookmarkEnd w:id="16"/>
    <w:bookmarkEnd w:id="17"/>
    <w:p>
      <w:pPr>
        <w:rPr>
          <w:rFonts w:ascii="楷体" w:hAnsi="楷体" w:eastAsia="楷体"/>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18" w:name="_Toc9719"/>
      <w:bookmarkStart w:id="19" w:name="_Toc25617"/>
      <w:bookmarkStart w:id="20" w:name="_Toc12803"/>
      <w:r>
        <w:rPr>
          <w:rFonts w:hint="eastAsia" w:ascii="楷体" w:hAnsi="楷体" w:eastAsia="楷体"/>
          <w:b/>
          <w:color w:val="000000" w:themeColor="text1"/>
          <w:sz w:val="24"/>
          <w:szCs w:val="24"/>
          <w14:textFill>
            <w14:solidFill>
              <w14:schemeClr w14:val="tx1"/>
            </w14:solidFill>
          </w14:textFill>
        </w:rPr>
        <w:t>铜：</w:t>
      </w:r>
      <w:bookmarkEnd w:id="18"/>
      <w:bookmarkEnd w:id="19"/>
      <w:r>
        <w:rPr>
          <w:rFonts w:hint="eastAsia" w:ascii="楷体" w:hAnsi="楷体" w:eastAsia="楷体"/>
          <w:b/>
          <w:color w:val="000000" w:themeColor="text1"/>
          <w:sz w:val="24"/>
          <w:szCs w:val="24"/>
          <w14:textFill>
            <w14:solidFill>
              <w14:schemeClr w14:val="tx1"/>
            </w14:solidFill>
          </w14:textFill>
        </w:rPr>
        <w:t>短期维持偏强，关注国内库存变化</w:t>
      </w:r>
      <w:bookmarkEnd w:id="20"/>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(1)宏观：3月份全球制造业采购经理指数为50.3%，较上月上升1.2个百分点，结束了连续17个月在50%以下运行的走势，重回扩张区间。</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(2)库存：4月3日，SHFE仓单库存227392吨，增2725吨；LME仓单库存112975吨，增1050吨。</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(3)精废价差：4月3日，Mysteel精废价差2696，扩张403。目前价差在合理价差1438之上。</w:t>
      </w:r>
    </w:p>
    <w:p>
      <w:pPr>
        <w:ind w:left="630" w:leftChars="300"/>
        <w:rPr>
          <w:rFonts w:hint="eastAsia" w:ascii="楷体" w:hAnsi="楷体" w:eastAsia="楷体"/>
          <w:color w:val="000000" w:themeColor="text1"/>
          <w:sz w:val="24"/>
          <w:szCs w:val="24"/>
          <w14:textFill>
            <w14:solidFill>
              <w14:schemeClr w14:val="tx1"/>
            </w14:solidFill>
          </w14:textFill>
        </w:rPr>
      </w:pPr>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综述：海外方面，3月美国非农数据远超预期，强化了美联储在降息方面的谨慎态度，但暂并未改变今年美联储降息框架，近期黄金和原油价格持续上涨带 动铜市场做多情绪，叠加供应偏紧预期仍提供支撑，但与此同时，乐观预期及供应端炒作推高的价格将持续面临需求的验证，如果4月国内库存不出现明显去化，预计价格将存在回落压力，短期价格主波动区间参考72500-75000。</w:t>
      </w:r>
    </w:p>
    <w:p>
      <w:pPr>
        <w:ind w:firstLine="480" w:firstLineChars="200"/>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21" w:name="_Toc6247"/>
      <w:bookmarkStart w:id="22" w:name="_Toc8897"/>
      <w:bookmarkStart w:id="23" w:name="_Toc20424"/>
      <w:r>
        <w:rPr>
          <w:rFonts w:hint="eastAsia" w:ascii="楷体" w:hAnsi="楷体" w:eastAsia="楷体"/>
          <w:b/>
          <w:color w:val="000000" w:themeColor="text1"/>
          <w:sz w:val="24"/>
          <w:szCs w:val="24"/>
          <w14:textFill>
            <w14:solidFill>
              <w14:schemeClr w14:val="tx1"/>
            </w14:solidFill>
          </w14:textFill>
        </w:rPr>
        <w:t>铝：</w:t>
      </w:r>
      <w:bookmarkEnd w:id="21"/>
      <w:bookmarkEnd w:id="22"/>
      <w:r>
        <w:rPr>
          <w:rFonts w:hint="eastAsia" w:ascii="楷体" w:hAnsi="楷体" w:eastAsia="楷体"/>
          <w:b/>
          <w:color w:val="000000" w:themeColor="text1"/>
          <w:sz w:val="24"/>
          <w:szCs w:val="24"/>
          <w14:textFill>
            <w14:solidFill>
              <w14:schemeClr w14:val="tx1"/>
            </w14:solidFill>
          </w14:textFill>
        </w:rPr>
        <w:t>铝价保持高位运行</w:t>
      </w:r>
      <w:bookmarkEnd w:id="23"/>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美国非农数据大超市场预期，彰显美国经济韧性，联储官员偏鹰发言，对实现通胀目标态度坚定，年内降息时间窗口及降息次数预期发生转变。国内持续释放政策面积极信号，国内3月PMI数据重回扩张区间，市场信心有所修复。电解铝供应增减互现，贵州减产云南计划复产，目前云南旱情仍未缓解，铝水比例提升，铸锭难有大幅增量，整体电解铝产量保持稳定。清明节前下游企业根据自身订单按需备库，铝棒出现小幅累增，铝锭保持去库态势，从下游需求来看，即使在金三银四旺季期间，高铝价的压力下传统行业订单情况依旧平淡，铝板带箔、铝杆及工业铝材订单表现较好，基本面支撑偏强。宏观情绪整体偏多，海外伦铝价格走势强势，国内整体供应稳定，下游需求部分修复，整体库存位于绝对偏低位置，铝价走势偏强，目前靠近2w关口，突破价格上方空间仍有压力，短期预计铝价保持19700-20000高位运行。</w:t>
      </w:r>
    </w:p>
    <w:p>
      <w:pPr>
        <w:ind w:left="630" w:leftChars="300"/>
        <w:rPr>
          <w:rFonts w:ascii="楷体" w:hAnsi="楷体" w:eastAsia="楷体"/>
          <w:color w:val="000000" w:themeColor="text1"/>
          <w:sz w:val="24"/>
          <w:szCs w:val="24"/>
          <w14:textFill>
            <w14:solidFill>
              <w14:schemeClr w14:val="tx1"/>
            </w14:solidFill>
          </w14:textFill>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24" w:name="_Toc3147"/>
      <w:r>
        <w:rPr>
          <w:rFonts w:hint="eastAsia" w:ascii="楷体" w:hAnsi="楷体" w:eastAsia="楷体"/>
          <w:b/>
          <w:color w:val="000000" w:themeColor="text1"/>
          <w:sz w:val="24"/>
          <w:szCs w:val="24"/>
          <w14:textFill>
            <w14:solidFill>
              <w14:schemeClr w14:val="tx1"/>
            </w14:solidFill>
          </w14:textFill>
        </w:rPr>
        <w:t>锌：预测锌价上冲后承压回落主震荡区间运行</w:t>
      </w:r>
      <w:bookmarkEnd w:id="24"/>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清明假期期间，LME锌价上涨明显，昨日伦锌夜盘价格冲高再度回落。宏观上看，美国就业数据强劲，压制联储降息预期。基本面上看，锌矿TC加工费下行显现出矿端供应趋紧，冶炼端保持相对高产，下游需求指向传统消费市场增量有限，库存累库但绝对水平依然偏低，锌价短期仍有上冲动力，但需求难以超预期表现限制了上方想象空间，预计锌价尝试上摸前高承压，价格在主震荡区间20000-21600运行。</w:t>
      </w:r>
    </w:p>
    <w:p>
      <w:pPr>
        <w:ind w:left="630" w:leftChars="300"/>
        <w:rPr>
          <w:rFonts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5" w:name="_Toc1847"/>
      <w:r>
        <w:rPr>
          <w:rFonts w:hint="eastAsia" w:ascii="楷体" w:hAnsi="楷体" w:eastAsia="楷体"/>
          <w:b/>
          <w:color w:val="000000" w:themeColor="text1"/>
          <w:sz w:val="24"/>
          <w:szCs w:val="24"/>
          <w14:textFill>
            <w14:solidFill>
              <w14:schemeClr w14:val="tx1"/>
            </w14:solidFill>
          </w14:textFill>
        </w:rPr>
        <w:t>镍：短期镍价暂无持续反弹动能</w:t>
      </w:r>
      <w:bookmarkEnd w:id="25"/>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宏观方面，我国3月PMI重回扩张区间，反映我国经济稳中向好发展；美国3月新增非农就业30.3万人超出预期，为2023年5月以来高点，市场下调美联储6月降息预期，海外宏观情绪边际转弱。成本方面，中间品及硫酸镍目前维持阶段性供需紧张格局为镍价托底，后市随着印尼华飞等MHP项目供应逐步恢复，预计电积镍成本支撑存在下跌空间。需求方面，3月三元材料厂家开工率回暖主要出于对新能源汽车市场需求向好预期下的前置性备货，新能源汽车对镍需求提振作用仍有待观察；不锈钢市场下游需求维持疲乏，后续或通过减产来调节供需矛盾。供应方面，精炼镍产能持续释放，镍市仍处于供应显著过剩格局中，现货库存持续累积。综合而言，在供应过剩压力及美联储降息预期边际下修的影响之下，短期镍价暂无持续反弹动能，不过中间品及硫酸镍供应偏紧状态对镍价的支撑作用仍存，短期镍价或偏弱震荡为主。</w:t>
      </w:r>
    </w:p>
    <w:p>
      <w:pPr>
        <w:rPr>
          <w:rFonts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6" w:name="_Toc28486"/>
      <w:r>
        <w:rPr>
          <w:rFonts w:hint="eastAsia" w:ascii="楷体" w:hAnsi="楷体" w:eastAsia="楷体"/>
          <w:b/>
          <w:color w:val="000000" w:themeColor="text1"/>
          <w:sz w:val="24"/>
          <w:szCs w:val="24"/>
          <w14:textFill>
            <w14:solidFill>
              <w14:schemeClr w14:val="tx1"/>
            </w14:solidFill>
          </w14:textFill>
        </w:rPr>
        <w:t>不锈钢：供需矛盾明显，期待减产动作</w:t>
      </w:r>
      <w:bookmarkEnd w:id="26"/>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海内外宏观情绪分化，我国3月PMI重回扩张区间，反映我国经济稳中向好发展；美国3月新增非农就业30.3万人超出预期反映美国经济仍具有韧性，市场下调美联储6月降息预期。镍矿端，在印尼镍矿供应紧张问题缓解及菲律宾镍矿出口量趋增的情况之下，预计镍矿价格偏弱运行。镍铁端，由于镍矿供应逐步恢复，印尼镍铁回流压力也将增加，且下游采购需求较弱，预计镍铁价格弱势运行。据Mysteel数据，目前冷轧不锈钢304的生产成本为13336元/吨左右，不锈钢产业的利润空间较微薄。需求方面，下游消费不振，清明节前补库力度十分有限，市场成交维持刚需采购为主，这是不锈钢价格缺乏上行动力的逻辑所在。供应方面，目前不锈钢处于高供应、高库存、低利润的状态，钢厂或采取减产动作来调节供需矛盾。库存方面，仓单库存处于历史新高点附近，达到149714吨，体现不锈钢库存压力明显。综合而言，美联储降息预期边际下修，加上需求不佳及库存高位对不锈钢价格带来压制，不锈钢价格缺乏向上驱动，但由于当前不锈钢产业的利润已微薄，价格继续下跌的空间也有限。若后续不锈钢厂明显减产，届时不锈钢价格存在企稳反弹机会。</w:t>
      </w:r>
    </w:p>
    <w:p>
      <w:pPr>
        <w:rPr>
          <w:rFonts w:ascii="楷体" w:hAnsi="楷体" w:eastAsia="楷体"/>
          <w:bCs/>
          <w:sz w:val="24"/>
          <w:szCs w:val="24"/>
        </w:rPr>
      </w:pPr>
    </w:p>
    <w:p>
      <w:pPr>
        <w:ind w:left="420" w:leftChars="200"/>
        <w:outlineLvl w:val="1"/>
        <w:rPr>
          <w:rFonts w:ascii="楷体" w:hAnsi="楷体" w:eastAsia="楷体"/>
          <w:b/>
          <w:sz w:val="24"/>
          <w:szCs w:val="24"/>
        </w:rPr>
      </w:pPr>
      <w:bookmarkStart w:id="27" w:name="_Toc11796"/>
      <w:r>
        <w:rPr>
          <w:rFonts w:hint="eastAsia" w:ascii="楷体" w:hAnsi="楷体" w:eastAsia="楷体"/>
          <w:b/>
          <w:color w:val="000000" w:themeColor="text1"/>
          <w:sz w:val="24"/>
          <w:szCs w:val="24"/>
          <w14:textFill>
            <w14:solidFill>
              <w14:schemeClr w14:val="tx1"/>
            </w14:solidFill>
          </w14:textFill>
        </w:rPr>
        <w:t>工业硅：</w:t>
      </w:r>
      <w:r>
        <w:rPr>
          <w:rFonts w:hint="eastAsia" w:ascii="楷体" w:hAnsi="楷体" w:eastAsia="楷体"/>
          <w:b/>
          <w:sz w:val="24"/>
          <w:szCs w:val="24"/>
        </w:rPr>
        <w:t>成本支撑下，盘面阶段性止跌企稳</w:t>
      </w:r>
      <w:bookmarkEnd w:id="27"/>
    </w:p>
    <w:p>
      <w:pPr>
        <w:ind w:left="630" w:leftChars="300"/>
        <w:rPr>
          <w:rFonts w:hint="eastAsia" w:ascii="楷体" w:hAnsi="楷体" w:eastAsia="楷体"/>
          <w:sz w:val="24"/>
          <w:szCs w:val="24"/>
        </w:rPr>
      </w:pPr>
      <w:r>
        <w:rPr>
          <w:rFonts w:hint="eastAsia" w:ascii="楷体" w:hAnsi="楷体" w:eastAsia="楷体"/>
          <w:sz w:val="24"/>
          <w:szCs w:val="24"/>
        </w:rPr>
        <w:t>4月3日，Si2405主力合约呈冲高回落走势，收盘价12010元/吨，较上一收盘价涨跌幅-0.33%。当前盘面已跌至西南丰水期预估生产成本线附近，供应端也出现一定程度减产，使得近期在成本支撑下出现阶段性企</w:t>
      </w:r>
    </w:p>
    <w:p>
      <w:pPr>
        <w:ind w:left="630" w:leftChars="300"/>
        <w:rPr>
          <w:rFonts w:ascii="楷体" w:hAnsi="楷体" w:eastAsia="楷体"/>
          <w:sz w:val="24"/>
          <w:szCs w:val="24"/>
        </w:rPr>
      </w:pPr>
      <w:r>
        <w:rPr>
          <w:rFonts w:hint="eastAsia" w:ascii="楷体" w:hAnsi="楷体" w:eastAsia="楷体"/>
          <w:sz w:val="24"/>
          <w:szCs w:val="24"/>
        </w:rPr>
        <w:t>稳反弹。但需求持续低迷，且暂未看到边际改善迹象，即使近期市场价格大幅下跌，并未大幅刺激下游进行补库操作，库存压力暂未得到有效缓解，后续或仍有进一步下跌风险。策略上，建议谨慎资金暂时观望，激进资金可尝试逢高做空。</w:t>
      </w:r>
    </w:p>
    <w:p>
      <w:pPr>
        <w:ind w:firstLine="420" w:firstLineChars="200"/>
        <w:rPr>
          <w:rFonts w:ascii="Times New Roman" w:hAnsi="Times New Roman" w:eastAsia="楷体"/>
          <w:bCs/>
        </w:rPr>
      </w:pPr>
    </w:p>
    <w:p>
      <w:pPr>
        <w:ind w:firstLine="420" w:firstLineChars="200"/>
        <w:rPr>
          <w:rFonts w:ascii="Times New Roman" w:hAnsi="Times New Roman" w:eastAsia="楷体"/>
          <w:bCs/>
        </w:rPr>
      </w:pPr>
    </w:p>
    <w:p>
      <w:pPr>
        <w:pBdr>
          <w:top w:val="single" w:color="auto" w:sz="4" w:space="0"/>
        </w:pBdr>
        <w:outlineLvl w:val="0"/>
        <w:rPr>
          <w:rFonts w:ascii="Times New Roman" w:hAnsi="Times New Roman" w:eastAsia="楷体"/>
          <w:b/>
          <w:color w:val="823C0B"/>
          <w:sz w:val="30"/>
          <w:szCs w:val="30"/>
        </w:rPr>
      </w:pPr>
      <w:bookmarkStart w:id="28" w:name="化工"/>
      <w:r>
        <w:rPr>
          <w:rFonts w:hint="eastAsia" w:ascii="Times New Roman" w:hAnsi="Times New Roman" w:eastAsia="楷体"/>
          <w:b/>
          <w:color w:val="823C0B"/>
          <w:sz w:val="30"/>
          <w:szCs w:val="30"/>
        </w:rPr>
        <w:t xml:space="preserve"> </w:t>
      </w:r>
      <w:bookmarkStart w:id="29" w:name="_Toc18538"/>
      <w:r>
        <w:rPr>
          <w:rFonts w:hint="eastAsia" w:ascii="Times New Roman" w:hAnsi="Times New Roman" w:eastAsia="楷体"/>
          <w:b/>
          <w:color w:val="823C0B"/>
          <w:sz w:val="30"/>
          <w:szCs w:val="30"/>
        </w:rPr>
        <w:t>[化工]</w:t>
      </w:r>
      <w:bookmarkEnd w:id="28"/>
      <w:bookmarkEnd w:id="29"/>
    </w:p>
    <w:p>
      <w:pPr>
        <w:ind w:firstLine="482" w:firstLineChars="200"/>
        <w:outlineLvl w:val="1"/>
        <w:rPr>
          <w:rFonts w:ascii="楷体" w:hAnsi="楷体" w:eastAsia="楷体"/>
          <w:b/>
          <w:sz w:val="24"/>
          <w:szCs w:val="24"/>
        </w:rPr>
      </w:pPr>
      <w:bookmarkStart w:id="30" w:name="_Toc539"/>
      <w:r>
        <w:rPr>
          <w:rFonts w:hint="eastAsia" w:ascii="Times New Roman" w:hAnsi="Times New Roman" w:eastAsia="楷体"/>
          <w:b/>
          <w:color w:val="000000" w:themeColor="text1"/>
          <w:sz w:val="24"/>
          <w:szCs w:val="24"/>
          <w14:textFill>
            <w14:solidFill>
              <w14:schemeClr w14:val="tx1"/>
            </w14:solidFill>
          </w14:textFill>
        </w:rPr>
        <w:t>天然橡胶:</w:t>
      </w:r>
      <w:r>
        <w:rPr>
          <w:rFonts w:hint="eastAsia" w:ascii="Times New Roman" w:hAnsi="Times New Roman" w:eastAsia="楷体"/>
          <w:b/>
          <w:color w:val="000000" w:themeColor="text1"/>
          <w:sz w:val="24"/>
          <w:szCs w:val="24"/>
          <w:lang w:val="en-US" w:eastAsia="zh-CN"/>
          <w14:textFill>
            <w14:solidFill>
              <w14:schemeClr w14:val="tx1"/>
            </w14:solidFill>
          </w14:textFill>
        </w:rPr>
        <w:t>基本面大稳小动，橡胶在大跌后短线或企稳回暖</w:t>
      </w:r>
      <w:bookmarkEnd w:id="30"/>
      <w:r>
        <w:rPr>
          <w:rFonts w:hint="eastAsia" w:ascii="楷体" w:hAnsi="楷体" w:eastAsia="楷体"/>
          <w:b/>
          <w:sz w:val="24"/>
          <w:szCs w:val="24"/>
        </w:rPr>
        <w:t xml:space="preserve">              </w:t>
      </w:r>
    </w:p>
    <w:p>
      <w:pPr>
        <w:ind w:left="630" w:leftChars="300"/>
        <w:rPr>
          <w:rFonts w:ascii="楷体" w:hAnsi="楷体" w:eastAsia="楷体"/>
          <w:sz w:val="24"/>
          <w:szCs w:val="24"/>
        </w:rPr>
      </w:pPr>
      <w:r>
        <w:rPr>
          <w:rFonts w:hint="eastAsia" w:ascii="楷体" w:hAnsi="楷体" w:eastAsia="楷体"/>
          <w:sz w:val="24"/>
          <w:szCs w:val="24"/>
        </w:rPr>
        <w:t>点评：目前看，全球天胶产区供应上量有限，海外低库存促使原料价格坚挺向上，成本端对天胶市场依旧有底部支撑。港口库存方面，目前仍处于历史高位，侧面反映此前关于收储、供应收缩的利好炒作并未促成有效去库，国内天胶供过于求格局未出现根本性改变。下游轮胎厂在天胶价格屡创新高后也没有出现投机性购入原料的情况，证实橡胶的供应十分充足。需求端来看，下游轮胎企业开工率高位维持，半钢胎在海外出口需求旺盛下，开工率创下新高，对原料补库积极性提高，提振天胶消费。全钢胎方面，因整体需求偏弱，各企业成品库存表现不一，后期不排除个别企业会出现生产降速的可能性。终端汽车方面，3-4月车企优惠政策延续。根据工信部最新公布的新车上市名录里面可以看到，多家车企的新车型与换代车型将于近期发售，亦将刺激未来汽车销售增长预期。整体看，近期海外原料价格虽止涨回调，但仍处于偏强水平，一定程度上对胶价存底部支撑。伴随国内深浅色胶库存齐降，节后胶价或逐步企稳回暖。</w:t>
      </w:r>
    </w:p>
    <w:p>
      <w:pPr>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1" w:name="_Toc21531"/>
      <w:r>
        <w:rPr>
          <w:rFonts w:hint="eastAsia" w:ascii="楷体" w:hAnsi="楷体" w:eastAsia="楷体"/>
          <w:b/>
          <w:color w:val="000000" w:themeColor="text1"/>
          <w:sz w:val="24"/>
          <w:szCs w:val="24"/>
          <w14:textFill>
            <w14:solidFill>
              <w14:schemeClr w14:val="tx1"/>
            </w14:solidFill>
          </w14:textFill>
        </w:rPr>
        <w:t>聚烯烃：市场多空因素交织，PE整体强于PP</w:t>
      </w:r>
      <w:bookmarkEnd w:id="31"/>
      <w:r>
        <w:rPr>
          <w:rFonts w:hint="eastAsia" w:ascii="楷体" w:hAnsi="楷体" w:eastAsia="楷体"/>
          <w:b/>
          <w:color w:val="000000" w:themeColor="text1"/>
          <w:sz w:val="24"/>
          <w:szCs w:val="24"/>
          <w14:textFill>
            <w14:solidFill>
              <w14:schemeClr w14:val="tx1"/>
            </w14:solidFill>
          </w14:textFill>
        </w:rPr>
        <w:t xml:space="preserve">      </w:t>
      </w:r>
    </w:p>
    <w:p>
      <w:pPr>
        <w:ind w:left="630" w:leftChars="300"/>
        <w:rPr>
          <w:rFonts w:ascii="楷体" w:hAnsi="楷体" w:eastAsia="楷体"/>
          <w:bCs/>
          <w:sz w:val="24"/>
          <w:szCs w:val="24"/>
        </w:rPr>
      </w:pPr>
      <w:r>
        <w:rPr>
          <w:rFonts w:hint="eastAsia" w:ascii="楷体" w:hAnsi="楷体" w:eastAsia="楷体"/>
          <w:color w:val="000000" w:themeColor="text1"/>
          <w:sz w:val="24"/>
          <w:szCs w:val="24"/>
          <w14:textFill>
            <w14:solidFill>
              <w14:schemeClr w14:val="tx1"/>
            </w14:solidFill>
          </w14:textFill>
        </w:rPr>
        <w:t>聚烯烃近端转弱远端转强，近端转弱一方面在于检修的阶段性回归，另一方面在于印尼配额政策取消和东南亚斋月导致的海外市场需求下滑和国内出口回落。远端偏强在于未来检修不断增多，后续库存将会去化，具体幅度还是要看需求。聚烯烃整体市场需求并不是很好，订单持平偏弱，利润同比更弱，成品库存较高的情况下难以看到大规模的补库，建议PP短期空单减仓，PE中期参与多单。</w:t>
      </w:r>
    </w:p>
    <w:p>
      <w:pPr>
        <w:rPr>
          <w:rFonts w:ascii="楷体" w:hAnsi="楷体" w:eastAsia="楷体"/>
          <w:bCs/>
          <w:sz w:val="24"/>
          <w:szCs w:val="24"/>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32" w:name="_Toc21842"/>
      <w:r>
        <w:rPr>
          <w:rFonts w:hint="eastAsia" w:ascii="楷体" w:hAnsi="楷体" w:eastAsia="楷体"/>
          <w:b/>
          <w:color w:val="000000" w:themeColor="text1"/>
          <w:sz w:val="24"/>
          <w:szCs w:val="24"/>
          <w14:textFill>
            <w14:solidFill>
              <w14:schemeClr w14:val="tx1"/>
            </w14:solidFill>
          </w14:textFill>
        </w:rPr>
        <w:t>玻璃：清明假期产销较好，短期有反弹</w:t>
      </w:r>
      <w:bookmarkEnd w:id="32"/>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3月下旬下游深加工企业订单环比月中走弱，季节性的“金三银四”行情中“金三”基本证伪，产业链上下游库存传导并不顺畅。供给端方面，1-3月复产6条产线，冷修4条产线，产量创近三年新高，供给偏强，4月份如果现货价格继续下行，部分到龄产线或将进入冷修。需求端方面，年后地产竣工高峰期结束，高回款压力下，下游虽然有补库需求但大多阶段性补库，长时间持续补库可能性不大，需求表现疲软，期现有负反馈迹象。清明假期，现货价格涨跌不一，沙河贸易商补库，产销较好，部分厂家提交刺激销售，但湖北和华东等地区库存压力仍然较大，节后价格继续下调。从盘面上看，4月上旬沙河厂家提价试探下游接受度可能带动盘面反弹，下游有阶段性补库迹象出现，但持续性尚待观察，建议观望，等待反弹至平水以上沽空。</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lang w:val="en-US" w:eastAsia="zh-CN"/>
          <w14:textFill>
            <w14:solidFill>
              <w14:schemeClr w14:val="tx1"/>
            </w14:solidFill>
          </w14:textFill>
        </w:rPr>
      </w:pPr>
      <w:bookmarkStart w:id="33" w:name="_Toc20147"/>
      <w:r>
        <w:rPr>
          <w:rFonts w:hint="eastAsia" w:ascii="楷体" w:hAnsi="楷体" w:eastAsia="楷体"/>
          <w:b/>
          <w:color w:val="000000" w:themeColor="text1"/>
          <w:sz w:val="24"/>
          <w:szCs w:val="24"/>
          <w14:textFill>
            <w14:solidFill>
              <w14:schemeClr w14:val="tx1"/>
            </w14:solidFill>
          </w14:textFill>
        </w:rPr>
        <w:t>纯碱：清明假期继续累库，期价反弹承压</w:t>
      </w:r>
      <w:bookmarkEnd w:id="33"/>
    </w:p>
    <w:p>
      <w:pPr>
        <w:ind w:left="630" w:leftChars="300"/>
        <w:rPr>
          <w:rFonts w:ascii="楷体" w:hAnsi="楷体" w:eastAsia="楷体"/>
          <w:bCs/>
          <w:sz w:val="24"/>
          <w:szCs w:val="24"/>
        </w:rPr>
      </w:pPr>
      <w:r>
        <w:rPr>
          <w:rFonts w:hint="eastAsia" w:ascii="楷体" w:hAnsi="楷体" w:eastAsia="楷体"/>
          <w:color w:val="000000" w:themeColor="text1"/>
          <w:sz w:val="24"/>
          <w:szCs w:val="24"/>
          <w14:textFill>
            <w14:solidFill>
              <w14:schemeClr w14:val="tx1"/>
            </w14:solidFill>
          </w14:textFill>
        </w:rPr>
        <w:t>供应方面，截至3月28日，纯碱产量73.40万吨，环比增加0.16万吨，涨幅0.22%，预计下周窄幅震荡；库存上，截止到2024年4月1日，国内纯碱厂家总库存87.50万吨，环比上周四涨4.14万吨，涨幅4.97%，清明节后预计继续累库。碱厂新订单商谈和接单阶段，出货放缓，下游采购谨慎。纯碱高供给，累库未变。3月以后库存快速累积，4月清明节前后，纯碱现货成交价格明稳暗跌，高成本的碱厂有挺价意愿，但下游在供给充裕的情况下，观望情绪较浓，基本随采随用，后期随着库存的继续累库和浮法产线的冷修，现货继续降价的概率较大。从盘面来看，近月05合约开始进入交割逻辑，基差收敛，期价窄幅震荡，不宜过度追空；远月09合约反弹至平水附近后上方有套保和无风险套利机会。操作上，建议反弹至平水或者小幅升水附近逢高沽空。</w:t>
      </w:r>
    </w:p>
    <w:p>
      <w:pPr>
        <w:ind w:firstLine="480" w:firstLineChars="200"/>
        <w:rPr>
          <w:rFonts w:ascii="楷体" w:hAnsi="楷体" w:eastAsia="楷体"/>
          <w:bCs/>
          <w:sz w:val="24"/>
          <w:szCs w:val="24"/>
        </w:rPr>
      </w:pPr>
    </w:p>
    <w:p>
      <w:pPr>
        <w:ind w:firstLine="482" w:firstLineChars="200"/>
        <w:outlineLvl w:val="1"/>
        <w:rPr>
          <w:rFonts w:ascii="楷体" w:hAnsi="楷体" w:eastAsia="楷体"/>
          <w:b/>
          <w:sz w:val="24"/>
          <w:szCs w:val="24"/>
        </w:rPr>
      </w:pPr>
      <w:bookmarkStart w:id="34" w:name="_Toc880"/>
      <w:r>
        <w:rPr>
          <w:rFonts w:hint="eastAsia" w:ascii="Times New Roman" w:hAnsi="Times New Roman" w:eastAsia="楷体"/>
          <w:b/>
          <w:color w:val="000000" w:themeColor="text1"/>
          <w:sz w:val="24"/>
          <w:szCs w:val="24"/>
          <w14:textFill>
            <w14:solidFill>
              <w14:schemeClr w14:val="tx1"/>
            </w14:solidFill>
          </w14:textFill>
        </w:rPr>
        <w:t>PTA：盘面走势震荡偏强</w:t>
      </w:r>
      <w:bookmarkEnd w:id="34"/>
      <w:r>
        <w:rPr>
          <w:rFonts w:hint="eastAsia" w:ascii="楷体" w:hAnsi="楷体" w:eastAsia="楷体"/>
          <w:b/>
          <w:sz w:val="24"/>
          <w:szCs w:val="24"/>
        </w:rPr>
        <w:t xml:space="preserve">              </w:t>
      </w:r>
    </w:p>
    <w:p>
      <w:pPr>
        <w:ind w:left="630" w:leftChars="300"/>
        <w:rPr>
          <w:rFonts w:hint="eastAsia" w:ascii="楷体" w:hAnsi="楷体" w:eastAsia="楷体"/>
          <w:sz w:val="24"/>
          <w:szCs w:val="24"/>
        </w:rPr>
      </w:pPr>
      <w:r>
        <w:rPr>
          <w:rFonts w:hint="eastAsia" w:ascii="楷体" w:hAnsi="楷体" w:eastAsia="楷体"/>
          <w:sz w:val="24"/>
          <w:szCs w:val="24"/>
        </w:rPr>
        <w:t>成本端原油及PX方面，假期期间美国经济数据持续向好及地缘因素支撑力度有所增强，原油加速冲高，短线留意回调风险。节前PTA装置负荷下调，逸盛大化225万吨计划外降负至7~8成，其他装置基本平稳运行，至3.28 PTA装置负荷降至77.3%（-0.8%）。后续仍有福海创、中泰石化等装置检修。新增产能投产方面，台化150万吨PTA新装置将于3月底投产。本周聚酯装置有一套检修、一套开启，另外局部装置负荷提升，截至3.28，初步核算国内大陆地区聚酯负荷在91.2%附近。终端来看，江浙终端开工高位维持，聚酯工厂采购积极性增加。综合来看，近期PTA部分装置开启检修且下游补库，供需格局改善，4月有望去库。 PTA短期走势驱动核心在成本端，4月PX开启检修且PX加工费低位，留意调油需求对PX价格提振。随着原油再度走强，PTA期价震荡偏强。仅供参考。</w:t>
      </w:r>
    </w:p>
    <w:p>
      <w:pPr>
        <w:ind w:left="630" w:leftChars="300"/>
        <w:rPr>
          <w:rFonts w:hint="eastAsia" w:ascii="楷体" w:hAnsi="楷体" w:eastAsia="楷体"/>
          <w:sz w:val="24"/>
          <w:szCs w:val="24"/>
        </w:rPr>
      </w:pPr>
    </w:p>
    <w:p>
      <w:pPr>
        <w:ind w:firstLine="482" w:firstLineChars="200"/>
        <w:outlineLvl w:val="1"/>
        <w:rPr>
          <w:rFonts w:ascii="楷体" w:hAnsi="楷体" w:eastAsia="楷体"/>
          <w:b/>
          <w:sz w:val="24"/>
          <w:szCs w:val="24"/>
        </w:rPr>
      </w:pPr>
      <w:bookmarkStart w:id="35" w:name="_Toc31433"/>
      <w:r>
        <w:rPr>
          <w:rFonts w:hint="eastAsia" w:ascii="Times New Roman" w:hAnsi="Times New Roman" w:eastAsia="楷体"/>
          <w:b/>
          <w:color w:val="000000" w:themeColor="text1"/>
          <w:sz w:val="24"/>
          <w:szCs w:val="24"/>
          <w14:textFill>
            <w14:solidFill>
              <w14:schemeClr w14:val="tx1"/>
            </w14:solidFill>
          </w14:textFill>
        </w:rPr>
        <w:t>乙二醇：到港增多预期  短期价格震荡</w:t>
      </w:r>
      <w:bookmarkEnd w:id="35"/>
      <w:r>
        <w:rPr>
          <w:rFonts w:hint="eastAsia" w:ascii="楷体" w:hAnsi="楷体" w:eastAsia="楷体"/>
          <w:b/>
          <w:sz w:val="24"/>
          <w:szCs w:val="24"/>
        </w:rPr>
        <w:t xml:space="preserve">              </w:t>
      </w:r>
    </w:p>
    <w:p>
      <w:pPr>
        <w:ind w:left="630" w:leftChars="300"/>
        <w:rPr>
          <w:rFonts w:ascii="楷体" w:hAnsi="楷体" w:eastAsia="楷体"/>
          <w:sz w:val="24"/>
          <w:szCs w:val="24"/>
        </w:rPr>
      </w:pPr>
      <w:r>
        <w:rPr>
          <w:rFonts w:hint="eastAsia" w:ascii="楷体" w:hAnsi="楷体" w:eastAsia="楷体"/>
          <w:sz w:val="24"/>
          <w:szCs w:val="24"/>
        </w:rPr>
        <w:t>供需情况，4.1华东主港地区MEG港口库存约88万吨附近，环比上期减少3.1万吨。截至3月28日，中国大陆地区乙二醇整体开工负荷在64.93%（+0.95%），其中草酸催化加氢法（合成气）制乙二醇开工负荷在59.72%（+3.63%）。  截至3月28日，国内大陆地区聚酯负荷在91.2%（+0.5%），聚酯开工维持。但聚酯工厂采购积极性不高，发货量持续下滑，港口去库困难。终端来看，江浙终端开工小幅调整，截止3.28江浙下游加弹、织造、印染负荷分别在94%（+0%）、82%（-1%）、90%(+3%)。综合来看，市场已经提前交易3-4月前期装置检修利好，近期乙二醇进口到小幅增加及部分煤化工装置检修推迟，4月供需格局偏宽松，短期价格震荡偏弱。仅供参考。</w:t>
      </w:r>
    </w:p>
    <w:p>
      <w:pPr>
        <w:ind w:firstLine="420" w:firstLineChars="200"/>
        <w:rPr>
          <w:rFonts w:ascii="Times New Roman" w:hAnsi="Times New Roman" w:eastAsia="楷体"/>
          <w:bCs/>
        </w:rPr>
      </w:pPr>
    </w:p>
    <w:p>
      <w:pPr>
        <w:pBdr>
          <w:top w:val="single" w:color="auto" w:sz="4" w:space="1"/>
        </w:pBdr>
        <w:outlineLvl w:val="0"/>
        <w:rPr>
          <w:rFonts w:ascii="楷体" w:hAnsi="楷体" w:eastAsia="楷体"/>
          <w:bCs/>
          <w:sz w:val="24"/>
          <w:szCs w:val="24"/>
        </w:rPr>
      </w:pPr>
      <w:r>
        <w:rPr>
          <w:rFonts w:hint="eastAsia" w:ascii="Times New Roman" w:hAnsi="Times New Roman" w:eastAsia="楷体"/>
          <w:b/>
          <w:color w:val="823C0B"/>
          <w:sz w:val="30"/>
          <w:szCs w:val="30"/>
        </w:rPr>
        <w:t xml:space="preserve"> </w:t>
      </w:r>
      <w:bookmarkStart w:id="36" w:name="_Toc11135"/>
      <w:r>
        <w:rPr>
          <w:rFonts w:hint="eastAsia" w:ascii="Times New Roman" w:hAnsi="Times New Roman" w:eastAsia="楷体"/>
          <w:b/>
          <w:color w:val="823C0B"/>
          <w:sz w:val="30"/>
          <w:szCs w:val="30"/>
        </w:rPr>
        <w:t>[农产品]</w:t>
      </w:r>
      <w:bookmarkEnd w:id="14"/>
      <w:bookmarkEnd w:id="36"/>
    </w:p>
    <w:p>
      <w:pPr>
        <w:pStyle w:val="93"/>
        <w:spacing w:before="60" w:beforeAutospacing="0" w:after="60" w:afterAutospacing="0"/>
        <w:ind w:left="420" w:leftChars="200"/>
        <w:outlineLvl w:val="1"/>
        <w:rPr>
          <w:rFonts w:ascii="楷体" w:hAnsi="楷体" w:eastAsia="楷体"/>
          <w:b/>
        </w:rPr>
      </w:pPr>
      <w:bookmarkStart w:id="37" w:name="_Toc3782"/>
      <w:r>
        <w:rPr>
          <w:rFonts w:hint="eastAsia" w:ascii="楷体" w:hAnsi="楷体" w:eastAsia="楷体"/>
          <w:b/>
          <w:bCs/>
          <w:color w:val="000000" w:themeColor="text1"/>
          <w14:textFill>
            <w14:solidFill>
              <w14:schemeClr w14:val="tx1"/>
            </w14:solidFill>
          </w14:textFill>
        </w:rPr>
        <w:t>玉米与淀粉：</w:t>
      </w:r>
      <w:r>
        <w:rPr>
          <w:rFonts w:hint="eastAsia" w:ascii="楷体" w:hAnsi="楷体" w:eastAsia="楷体"/>
          <w:b/>
        </w:rPr>
        <w:t>期价震荡反弹</w:t>
      </w:r>
      <w:bookmarkEnd w:id="37"/>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对于玉米而言，春节前后国家增储刺激中游贸易商入市化解东北产区的余粮压力，也形成了东北产区相对高价的局面，由此引发定价权的争夺，即东北产区余粮更多转入贸易商手中，会产生仓储和资金成本，抑制现货回落空间，华北产区则余粮压力仍存，后续还有新作小麦上市压力，南方销区则因为内外价差更倾向于选择进口谷物。在这种情况下，中期逻辑的关键在于国内玉米是否存在产需缺口，短期则需要重点留意国家政策和现货供需博弈的发展。在近期国家政策（增储与限制保税区玉米进口）带动下，近月期价已经贴近东北产区现货，继续上涨需要现货拉动。我们维持谨慎看多观点，建议投资者持有前期多单。</w:t>
      </w:r>
    </w:p>
    <w:p>
      <w:pPr>
        <w:pStyle w:val="93"/>
        <w:spacing w:before="0" w:beforeAutospacing="0" w:after="60" w:afterAutospacing="0"/>
        <w:ind w:left="630" w:leftChars="300"/>
        <w:rPr>
          <w:rFonts w:ascii="楷体" w:hAnsi="楷体" w:eastAsia="楷体"/>
        </w:rPr>
      </w:pPr>
      <w:r>
        <w:rPr>
          <w:rFonts w:hint="eastAsia" w:ascii="楷体" w:hAnsi="楷体" w:eastAsia="楷体"/>
        </w:rPr>
        <w:t>对于淀粉而言，近期带动淀粉-玉米价差持续收窄的主要原因有二，其一是行业供需，即行业开机率带动库存持续累积，其二是原料成本端，即华北-东北玉米价差持续低位，两者作用的结果就是华北淀粉成本定价。但后期副产品、原料成本和行业供需三大方面均存在较大的不确定性，而淀粉现货基差与盘面生产利润短期或带来一定支撑。综上所述，我们倾向于认为淀粉-玉米价差或趋于区间震荡，方向尚不明朗。综上所述，我们维持谨慎看多观点，建议前期多单可以考虑继续持有，套利方面则暂以观望为宜。</w:t>
      </w:r>
    </w:p>
    <w:p>
      <w:pPr>
        <w:pStyle w:val="93"/>
        <w:spacing w:before="60" w:beforeAutospacing="0" w:after="60" w:afterAutospacing="0"/>
        <w:ind w:left="630" w:leftChars="300"/>
        <w:rPr>
          <w:rFonts w:ascii="楷体" w:hAnsi="楷体" w:eastAsia="楷体"/>
        </w:rPr>
      </w:pPr>
    </w:p>
    <w:p>
      <w:pPr>
        <w:pStyle w:val="93"/>
        <w:spacing w:before="60" w:beforeAutospacing="0" w:after="60" w:afterAutospacing="0"/>
        <w:ind w:left="420" w:leftChars="200"/>
        <w:outlineLvl w:val="1"/>
        <w:rPr>
          <w:rFonts w:ascii="楷体" w:hAnsi="楷体" w:eastAsia="楷体"/>
          <w:b/>
          <w:bCs/>
          <w:color w:val="000000" w:themeColor="text1"/>
          <w14:textFill>
            <w14:solidFill>
              <w14:schemeClr w14:val="tx1"/>
            </w14:solidFill>
          </w14:textFill>
        </w:rPr>
      </w:pPr>
      <w:bookmarkStart w:id="38" w:name="_Toc6059"/>
      <w:r>
        <w:rPr>
          <w:rFonts w:hint="eastAsia" w:ascii="楷体" w:hAnsi="楷体" w:eastAsia="楷体"/>
          <w:b/>
          <w:bCs/>
          <w:color w:val="000000" w:themeColor="text1"/>
          <w14:textFill>
            <w14:solidFill>
              <w14:schemeClr w14:val="tx1"/>
            </w14:solidFill>
          </w14:textFill>
        </w:rPr>
        <w:t>畜禽养殖：期价继续近弱远强</w:t>
      </w:r>
      <w:bookmarkEnd w:id="38"/>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对于生猪而言，市场基于行业产能去化即能繁母猪存栏持续下滑合理预期远期趋于改善，这体现在期价远月升水结构上，市场分歧更多在于供需改善的幅度，主要源于两个方面，其一是产能去化是否达到足以改变行业供需格局的水平，其二是生产效率的提升可能对冲产能去化对生猪实际供应下降的影响。从农业农村部公布的2023年4季度末生猪存栏来看，今年上半年生猪供应量同比下降4%左右，考虑到生猪出栏体重同比上升，这意味着上半年供需改善幅度或受限，更多取决于市场供应节奏，即屠宰企业冷冻入库和养殖户惜售压栏与二次育肥等。相对而言，三季度供应阶段性下降或更为确定，主要原因有二，其一是去年四季度非瘟疫情加上养殖户资金问题加速淘汰，其二是仔猪价格1月以来加速上涨，其对应7月之后生猪供应。此外，三季度原料成本端或存在变数，豆粕主要源于外盘大豆关键生产期天气，而玉米则在于国内产需缺口或逐步体现。据此我们中期谨慎看多，短期维持中性观点，建议投资者观望为宜，可考虑持有月间价差套利。</w:t>
      </w:r>
    </w:p>
    <w:p>
      <w:pPr>
        <w:pStyle w:val="93"/>
        <w:spacing w:before="0" w:beforeAutospacing="0" w:after="60" w:afterAutospacing="0"/>
        <w:ind w:left="630" w:leftChars="300"/>
        <w:rPr>
          <w:rFonts w:ascii="楷体" w:hAnsi="楷体" w:eastAsia="楷体"/>
        </w:rPr>
      </w:pPr>
      <w:r>
        <w:rPr>
          <w:rFonts w:hint="eastAsia" w:ascii="楷体" w:hAnsi="楷体" w:eastAsia="楷体"/>
        </w:rPr>
        <w:t>对于鸡蛋而言，从供需层面看，卓创资讯公布的在产蛋鸡存栏持续环比增加，考虑到老龄蛋鸡占比下降，意味着可淘老鸡数量受限，再加上春节后鸡蛋现货价格带动鸡苗价格和种蛋利用率回升，这些均表明行业供需仍有望趋于宽松。当然，节后现货的快速反弹，带来市场对鸡蛋供需预期的分歧，但这不排除更多源于库存的变动。从原料成本角度看，考虑到鸡蛋养殖利润因行业供需处于往年同期低位，饲料成本因素对鸡蛋期现货影响或相对大于生猪，在这种情况下，需要特别留意饲料原料即豆粕和玉米上涨的持续性。综上所述，行业供需宽松格局尚未改变，而饲料原料成本上涨持续性存疑，鸡蛋期现货趋势尚不明朗，或陷入震荡区间调整态势，重点留意现货和利润对应养殖补栏和淘汰积极性的影响。我们维持中性观点，建议投资者观望，可考虑参与短线操作。</w:t>
      </w:r>
    </w:p>
    <w:p>
      <w:pPr>
        <w:ind w:firstLine="480" w:firstLineChars="200"/>
        <w:rPr>
          <w:rFonts w:ascii="楷体" w:hAnsi="楷体" w:eastAsia="楷体"/>
          <w:sz w:val="24"/>
          <w:szCs w:val="24"/>
        </w:rPr>
      </w:pPr>
    </w:p>
    <w:p>
      <w:pPr>
        <w:pStyle w:val="93"/>
        <w:spacing w:before="60" w:beforeAutospacing="0" w:after="60" w:afterAutospacing="0"/>
        <w:ind w:left="420" w:leftChars="200"/>
        <w:outlineLvl w:val="1"/>
        <w:rPr>
          <w:rFonts w:ascii="楷体" w:hAnsi="楷体" w:eastAsia="楷体"/>
          <w:b/>
        </w:rPr>
      </w:pPr>
      <w:bookmarkStart w:id="39" w:name="_Toc27652"/>
      <w:r>
        <w:rPr>
          <w:rFonts w:hint="eastAsia" w:ascii="楷体" w:hAnsi="楷体" w:eastAsia="楷体"/>
          <w:b/>
          <w:bCs/>
          <w:color w:val="000000" w:themeColor="text1"/>
          <w14:textFill>
            <w14:solidFill>
              <w14:schemeClr w14:val="tx1"/>
            </w14:solidFill>
          </w14:textFill>
        </w:rPr>
        <w:t>白糖：涨跌反复，持续观望</w:t>
      </w:r>
      <w:bookmarkEnd w:id="39"/>
    </w:p>
    <w:p>
      <w:pPr>
        <w:pStyle w:val="93"/>
        <w:spacing w:before="0" w:beforeAutospacing="0" w:after="60" w:afterAutospacing="0"/>
        <w:ind w:left="630" w:leftChars="300"/>
        <w:rPr>
          <w:rFonts w:ascii="楷体" w:hAnsi="楷体" w:eastAsia="楷体"/>
        </w:rPr>
      </w:pPr>
      <w:r>
        <w:rPr>
          <w:rFonts w:hint="eastAsia" w:ascii="楷体" w:hAnsi="楷体" w:eastAsia="楷体"/>
        </w:rPr>
        <w:t>据嘉利高报告，美国宣布2024年关税配额增加12.5万吨，由于原美国最大食糖供应国墨西哥作物表现不佳，无法供应足够的食糖，今年巴西获得最大配额，巴西糖市表现进一步影响国际市场。在巴西天气原因导致预估产量下调、释放多头信号的同时，StoneX预估全球食糖过剩量高于预期，市场多空因素交织，价格趋势不明朗。国内市场方面，继昨日日盘下跌后，昨日夜盘重新回调，郑糖2405、2409、2501合约涨幅分别为0.03%、0.13%和0.23%，2405合约未能重回6500位置。昨日外盘白砂糖05合约涨幅1.9%，预计今日郑糖期价跟随上涨。</w:t>
      </w:r>
    </w:p>
    <w:p>
      <w:pPr>
        <w:ind w:firstLine="480" w:firstLineChars="200"/>
        <w:rPr>
          <w:rFonts w:ascii="楷体" w:hAnsi="楷体" w:eastAsia="楷体"/>
          <w:bCs/>
          <w:sz w:val="24"/>
          <w:szCs w:val="24"/>
        </w:rPr>
      </w:pPr>
    </w:p>
    <w:p>
      <w:pPr>
        <w:pBdr>
          <w:top w:val="single" w:color="auto" w:sz="4" w:space="0"/>
        </w:pBdr>
        <w:outlineLvl w:val="0"/>
        <w:rPr>
          <w:rFonts w:ascii="Times New Roman" w:hAnsi="Times New Roman" w:eastAsia="楷体"/>
          <w:b/>
          <w:color w:val="823C0B"/>
        </w:rPr>
      </w:pPr>
      <w:bookmarkStart w:id="40" w:name="_Toc19538"/>
      <w:r>
        <w:rPr>
          <w:rFonts w:hint="eastAsia" w:ascii="Times New Roman" w:hAnsi="Times New Roman" w:eastAsia="楷体"/>
          <w:b/>
          <w:color w:val="823C0B"/>
          <w:sz w:val="30"/>
          <w:szCs w:val="30"/>
        </w:rPr>
        <w:t>[指数]</w:t>
      </w:r>
      <w:bookmarkEnd w:id="40"/>
    </w:p>
    <w:p>
      <w:pPr>
        <w:ind w:left="420" w:leftChars="200"/>
        <w:outlineLvl w:val="1"/>
        <w:rPr>
          <w:rFonts w:ascii="Times New Roman" w:hAnsi="Times New Roman" w:eastAsia="楷体"/>
          <w:b/>
          <w:color w:val="000000" w:themeColor="text1"/>
          <w:sz w:val="24"/>
          <w:szCs w:val="24"/>
          <w14:textFill>
            <w14:solidFill>
              <w14:schemeClr w14:val="tx1"/>
            </w14:solidFill>
          </w14:textFill>
        </w:rPr>
      </w:pPr>
      <w:bookmarkStart w:id="41" w:name="_Toc21518"/>
      <w:r>
        <w:rPr>
          <w:rFonts w:hint="eastAsia" w:ascii="Times New Roman" w:hAnsi="Times New Roman" w:eastAsia="楷体"/>
          <w:b/>
          <w:color w:val="000000" w:themeColor="text1"/>
          <w:sz w:val="24"/>
          <w:szCs w:val="24"/>
          <w14:textFill>
            <w14:solidFill>
              <w14:schemeClr w14:val="tx1"/>
            </w14:solidFill>
          </w14:textFill>
        </w:rPr>
        <w:t>集运指数（欧线）：船司提价基本完成，EC走向短期偏强</w:t>
      </w:r>
      <w:bookmarkEnd w:id="41"/>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近期多家船司陆续提涨4月船期报价，提涨力度较大。4月1日盘后SCFIS超预期上行，对应3月底运价上涨幅度；本期SCFIS欧线收于2174.19点，环比上期上涨1%。</w:t>
      </w:r>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需求方面，据欧盟统计局公布的数据显示，欧元区3月制造业PMI初值45.7，预期47，2月终值46.5，初值46.1，表现逊于预期，显示欧洲工业还处于筑底阶段。</w:t>
      </w:r>
    </w:p>
    <w:p>
      <w:pPr>
        <w:ind w:left="630" w:leftChars="300"/>
        <w:rPr>
          <w:rFonts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此外，亚欧航线已经基本适应了地缘紧张局势的影响，供求平衡情况在近期成为影响运价走势的主要因素。虽然当前需求下滑导致出口货量不足，但船司4月提价实现，预计盘面偏强，投资者交易保持观望。</w:t>
      </w:r>
    </w:p>
    <w:p>
      <w:pPr>
        <w:ind w:firstLine="602" w:firstLineChars="200"/>
        <w:rPr>
          <w:rFonts w:ascii="Times New Roman" w:hAnsi="Times New Roman" w:eastAsia="楷体"/>
          <w:b/>
          <w:color w:val="800000"/>
          <w:sz w:val="30"/>
          <w:szCs w:val="30"/>
        </w:rPr>
      </w:pPr>
      <w:r>
        <w:rPr>
          <w:rFonts w:ascii="Times New Roman" w:hAnsi="Times New Roman" w:eastAsia="楷体"/>
          <w:b/>
          <w:color w:val="800000"/>
          <w:sz w:val="30"/>
          <w:szCs w:val="30"/>
        </w:rPr>
        <w:br w:type="page"/>
      </w:r>
    </w:p>
    <w:p>
      <w:pPr>
        <w:spacing w:line="360" w:lineRule="auto"/>
        <w:jc w:val="center"/>
        <w:rPr>
          <w:rFonts w:ascii="Times New Roman" w:hAnsi="Times New Roman" w:eastAsia="楷体"/>
          <w:b/>
          <w:color w:val="411D05"/>
          <w:sz w:val="30"/>
          <w:szCs w:val="30"/>
        </w:rPr>
      </w:pPr>
      <w:bookmarkStart w:id="42" w:name="_Toc12779"/>
      <w:bookmarkStart w:id="43" w:name="_Toc19667"/>
      <w:bookmarkStart w:id="44" w:name="_Toc98426751"/>
      <w:bookmarkStart w:id="45" w:name="_Toc72481108"/>
      <w:bookmarkStart w:id="46" w:name="_Toc71212556"/>
      <w:r>
        <w:rPr>
          <w:rFonts w:ascii="Times New Roman" w:hAnsi="Times New Roman" w:eastAsia="楷体"/>
          <w:b/>
          <w:color w:val="411D05"/>
          <w:sz w:val="30"/>
          <w:szCs w:val="30"/>
        </w:rPr>
        <w:t>免责声明</w:t>
      </w:r>
      <w:bookmarkEnd w:id="42"/>
      <w:bookmarkEnd w:id="43"/>
      <w:bookmarkEnd w:id="44"/>
      <w:bookmarkEnd w:id="45"/>
      <w:bookmarkEnd w:id="46"/>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pPr>
        <w:ind w:firstLine="422" w:firstLineChars="200"/>
        <w:rPr>
          <w:rFonts w:ascii="Times New Roman" w:hAnsi="Times New Roman" w:eastAsia="楷体"/>
        </w:rPr>
      </w:pPr>
      <w:r>
        <w:rPr>
          <w:rFonts w:hint="eastAsia" w:ascii="Times New Roman" w:hAnsi="Times New Roman" w:eastAsia="楷体"/>
          <w:b/>
          <w:bCs/>
          <w:color w:val="C00000"/>
        </w:rPr>
        <w:t>广州期货股份有限公司提醒广大投资者：期市有风险，入市需谨慎！</w:t>
      </w:r>
    </w:p>
    <w:p>
      <w:pPr>
        <w:ind w:firstLine="420" w:firstLineChars="200"/>
        <w:rPr>
          <w:rFonts w:ascii="Times New Roman" w:hAnsi="Times New Roman" w:eastAsia="楷体"/>
        </w:rPr>
      </w:pPr>
    </w:p>
    <w:p>
      <w:pPr>
        <w:ind w:firstLine="420" w:firstLineChars="200"/>
        <w:rPr>
          <w:rFonts w:ascii="Times New Roman" w:hAnsi="Times New Roman" w:eastAsia="楷体"/>
        </w:rPr>
      </w:pPr>
    </w:p>
    <w:p>
      <w:pPr>
        <w:jc w:val="left"/>
        <w:rPr>
          <w:rFonts w:ascii="Times New Roman" w:hAnsi="Times New Roman" w:eastAsia="楷体"/>
          <w:b/>
          <w:color w:val="823C0B"/>
          <w:sz w:val="28"/>
        </w:rPr>
      </w:pPr>
      <w:r>
        <w:rPr>
          <w:rFonts w:ascii="Times New Roman" w:hAnsi="Times New Roman" w:eastAsia="楷体"/>
          <w:b/>
          <w:color w:val="823C0B"/>
          <w:sz w:val="28"/>
        </w:rPr>
        <w:t xml:space="preserve">投资咨询业务资格:证监许可【2012】1497号 </w:t>
      </w:r>
    </w:p>
    <w:p>
      <w:pPr>
        <w:ind w:firstLine="440" w:firstLineChars="200"/>
        <w:rPr>
          <w:rFonts w:ascii="Times New Roman" w:hAnsi="Times New Roman" w:eastAsia="楷体" w:cs="Times New Roman"/>
          <w:sz w:val="22"/>
        </w:rPr>
      </w:pPr>
    </w:p>
    <w:tbl>
      <w:tblPr>
        <w:tblStyle w:val="89"/>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0"/>
        <w:gridCol w:w="42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王荆杰</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F3084112</w:t>
            </w:r>
            <w:r>
              <w:rPr>
                <w:rFonts w:hint="eastAsia" w:ascii="Times New Roman" w:hAnsi="Times New Roman" w:eastAsia="楷体" w:cs="Times New Roman"/>
                <w:color w:val="823C0B"/>
                <w:sz w:val="22"/>
              </w:rPr>
              <w:t xml:space="preserve">    </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Z0016329</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范红军</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F03098791</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：Z0017690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李代</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：F03086605</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：Z0016791</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许克元</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：F3022666</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：Z0013612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谢紫琪</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：F3032560</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：Z0014338</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薛晴</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：F3035906</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：Z0016940</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ind w:firstLine="420" w:firstLineChars="200"/>
        <w:rPr>
          <w:rFonts w:ascii="Times New Roman" w:hAnsi="Times New Roman" w:eastAsia="楷体"/>
        </w:rPr>
      </w:pPr>
    </w:p>
    <w:tbl>
      <w:tblPr>
        <w:tblStyle w:val="88"/>
        <w:tblW w:w="5000" w:type="pct"/>
        <w:jc w:val="center"/>
        <w:tblLayout w:type="autofit"/>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jc w:val="center"/>
        </w:trPr>
        <w:tc>
          <w:tcPr>
            <w:tcW w:w="5000" w:type="pct"/>
            <w:shd w:val="clear" w:color="auto" w:fill="auto"/>
            <w:vAlign w:val="center"/>
          </w:tcPr>
          <w:p>
            <w:pPr>
              <w:rPr>
                <w:rFonts w:ascii="Times New Roman" w:hAnsi="Times New Roman" w:eastAsia="楷体"/>
                <w:b/>
                <w:bCs/>
                <w:color w:val="823C0B"/>
              </w:rPr>
            </w:pPr>
            <w:r>
              <w:rPr>
                <w:rFonts w:ascii="Times New Roman" w:hAnsi="Times New Roman" w:eastAsia="楷体"/>
                <w:bCs/>
                <w:color w:val="823C0B"/>
              </w:rPr>
              <w:t>办公地址：广州市天河区</w:t>
            </w:r>
            <w:r>
              <w:rPr>
                <w:rFonts w:hint="eastAsia" w:ascii="Times New Roman" w:hAnsi="Times New Roman" w:eastAsia="楷体"/>
                <w:bCs/>
                <w:color w:val="823C0B"/>
              </w:rPr>
              <w:t>临江大道1号寺右万科中心南塔</w:t>
            </w:r>
            <w:r>
              <w:rPr>
                <w:rFonts w:ascii="Times New Roman" w:hAnsi="Times New Roman" w:eastAsia="楷体"/>
                <w:bCs/>
                <w:color w:val="823C0B"/>
              </w:rPr>
              <w:t>6</w:t>
            </w:r>
            <w:r>
              <w:rPr>
                <w:rFonts w:hint="eastAsia" w:ascii="Times New Roman" w:hAnsi="Times New Roman" w:eastAsia="楷体"/>
                <w:bCs/>
                <w:color w:val="823C0B"/>
              </w:rPr>
              <w:t>层</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color w:val="823C0B"/>
              </w:rPr>
            </w:pPr>
            <w:r>
              <w:rPr>
                <w:rFonts w:hint="eastAsia" w:ascii="Times New Roman" w:hAnsi="Times New Roman" w:eastAsia="楷体"/>
                <w:bCs/>
                <w:color w:val="823C0B"/>
              </w:rPr>
              <w:t>联系方式: (020)22836102</w:t>
            </w:r>
          </w:p>
        </w:tc>
      </w:tr>
      <w:tr>
        <w:trPr>
          <w:jc w:val="center"/>
        </w:trPr>
        <w:tc>
          <w:tcPr>
            <w:tcW w:w="5000" w:type="pct"/>
            <w:shd w:val="clear" w:color="auto" w:fill="auto"/>
            <w:vAlign w:val="center"/>
          </w:tcPr>
          <w:p>
            <w:pPr>
              <w:jc w:val="left"/>
              <w:rPr>
                <w:rFonts w:ascii="Times New Roman" w:hAnsi="Times New Roman" w:eastAsia="楷体"/>
                <w:bCs/>
                <w:color w:val="823C0B"/>
              </w:rPr>
            </w:pPr>
            <w:r>
              <w:rPr>
                <w:rFonts w:ascii="Times New Roman" w:hAnsi="Times New Roman" w:eastAsia="楷体"/>
                <w:bCs/>
                <w:color w:val="823C0B"/>
              </w:rPr>
              <w:t>邮政编码：510627</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pBdr>
          <w:top w:val="none" w:color="auto" w:sz="0" w:space="1"/>
          <w:left w:val="none" w:color="auto" w:sz="0" w:space="4"/>
          <w:bottom w:val="none" w:color="auto" w:sz="0" w:space="1"/>
          <w:right w:val="none" w:color="auto" w:sz="0" w:space="4"/>
        </w:pBdr>
      </w:pPr>
    </w:p>
    <w:sectPr>
      <w:footerReference r:id="rId7" w:type="first"/>
      <w:footerReference r:id="rId6" w:type="default"/>
      <w:pgSz w:w="11906" w:h="16838"/>
      <w:pgMar w:top="1440" w:right="1800" w:bottom="1440" w:left="1800" w:header="850" w:footer="1077"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top w:val="single" w:color="000000" w:sz="4" w:space="0"/>
      </w:pBdr>
      <w:jc w:val="both"/>
    </w:pPr>
    <w:r>
      <w:rPr>
        <w:rFonts w:hint="eastAsia" w:ascii="楷体" w:hAnsi="楷体" w:eastAsia="楷体" w:cs="Times New Roman"/>
        <w:b/>
        <w:color w:val="833C0B"/>
        <w:sz w:val="21"/>
        <w:lang w:bidi="ar"/>
      </w:rPr>
      <w:t>广州期货提醒各位投资者，期市有风险，入市需谨慎！请阅读文末免责声明</w:t>
    </w: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v:textbox>
            </v:shape>
          </w:pict>
        </mc:Fallback>
      </mc:AlternateContent>
    </w:r>
    <w:r>
      <w:rPr>
        <w:rFonts w:hint="eastAsia" w:ascii="楷体" w:hAnsi="楷体" w:eastAsia="楷体" w:cs="Times New Roman"/>
        <w:b/>
        <w:color w:val="833C0B"/>
        <w:sz w:val="21"/>
        <w:lang w:bidi="ar"/>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top w:val="single" w:color="000000" w:sz="4" w:space="0"/>
      </w:pBdr>
      <w:jc w:val="both"/>
    </w:pPr>
    <w: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85.4pt;margin-top:-0.85pt;height:144pt;width:144pt;mso-position-horizontal-relative:margin;mso-wrap-style:none;z-index:251662336;mso-width-relative:page;mso-height-relative:page;" filled="f" stroked="f" coordsize="21600,21600" o:gfxdata="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pUetTYAAAACwEAAA8AAAAAAAAAAQAgAAAAIgAAAGRycy9kb3ducmV2LnhtbFBLAQIU&#10;ABQAAAAIAIdO4kAXDIm4LAIAAFUEAAAOAAAAAAAAAAEAIAAAACcBAABkcnMvZTJvRG9jLnhtbFBL&#10;BQYAAAAABgAGAFkBAADFBQAAAAA=&#10;">
              <v:fill on="f" focussize="0,0"/>
              <v:stroke on="f" weight="0.5pt"/>
              <v:imagedata o:title=""/>
              <o:lock v:ext="edit" aspectratio="f"/>
              <v:textbox inset="0mm,0mm,0mm,0mm" style="mso-fit-shape-to-text:t;">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1</w:t>
                          </w:r>
                          <w:r>
                            <w:rPr>
                              <w:rFonts w:hint="eastAsia" w:ascii="Times New Roman" w:hAnsi="Times New Roman" w:eastAsia="楷体" w:cs="Times New Roman"/>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55"/>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1</w:t>
                    </w:r>
                    <w:r>
                      <w:rPr>
                        <w:rFonts w:hint="eastAsia" w:ascii="Times New Roman" w:hAnsi="Times New Roman" w:eastAsia="楷体" w:cs="Times New Roman"/>
                        <w:b/>
                        <w:color w:val="833C0B"/>
                        <w:sz w:val="21"/>
                        <w:lang w:bidi="ar"/>
                      </w:rPr>
                      <w:fldChar w:fldCharType="end"/>
                    </w:r>
                  </w:p>
                </w:txbxContent>
              </v:textbox>
            </v:shape>
          </w:pict>
        </mc:Fallback>
      </mc:AlternateContent>
    </w:r>
    <w:r>
      <w:rPr>
        <w:rFonts w:hint="eastAsia" w:ascii="楷体" w:hAnsi="楷体" w:eastAsia="楷体" w:cs="Times New Roman"/>
        <w:b/>
        <w:color w:val="833C0B"/>
        <w:sz w:val="21"/>
        <w:lang w:bidi="ar"/>
      </w:rPr>
      <w:t>广州期货提醒各位投资者，期市有风险，入市需谨慎！请阅读文末免责声明。</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5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pPr>
    <w:r>
      <w:drawing>
        <wp:anchor distT="0" distB="0" distL="114300" distR="114300" simplePos="0" relativeHeight="251659264" behindDoc="0" locked="0" layoutInCell="1" allowOverlap="1">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pPr>
      <w:pStyle w:val="57"/>
      <w:pBdr>
        <w:bottom w:val="single" w:color="auto" w:sz="4" w:space="1"/>
      </w:pBdr>
      <w:jc w:val="right"/>
      <w:rPr>
        <w:b/>
        <w:bCs/>
      </w:rPr>
    </w:pPr>
    <w:r>
      <w:ptab w:relativeTo="margin" w:alignment="center" w:leader="none"/>
    </w:r>
    <w:r>
      <w:rPr>
        <w:rFonts w:hint="eastAsia" w:ascii="Times New Roman" w:hAnsi="Times New Roman" w:eastAsia="楷体"/>
        <w:b/>
        <w:bCs/>
        <w:color w:val="833C0B"/>
        <w:sz w:val="21"/>
      </w:rPr>
      <w:t>早间直通车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rPr>
        <w:rFonts w:ascii="Times New Roman" w:hAnsi="Times New Roman" w:eastAsia="楷体"/>
        <w:b/>
        <w:bCs/>
        <w:color w:val="833C0B"/>
        <w:sz w:val="21"/>
      </w:rPr>
    </w:pPr>
    <w:r>
      <w:ptab w:relativeTo="margin" w:alignment="center" w:leader="none"/>
    </w:r>
    <w:r>
      <w:drawing>
        <wp:anchor distT="0" distB="0" distL="114300" distR="114300" simplePos="0" relativeHeight="251661312" behindDoc="0" locked="0" layoutInCell="1" allowOverlap="1">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hint="eastAsia" w:ascii="Times New Roman" w:hAnsi="Times New Roman" w:eastAsia="楷体"/>
        <w:b/>
        <w:bCs/>
        <w:color w:val="833C0B"/>
        <w:sz w:val="21"/>
      </w:rPr>
      <w:t>早间直通车</w:t>
    </w:r>
  </w:p>
  <w:p>
    <w:pPr>
      <w:pStyle w:val="57"/>
      <w:pBdr>
        <w:bottom w:val="single" w:color="auto" w:sz="4" w:space="1"/>
      </w:pBdr>
      <w:jc w:val="right"/>
    </w:pPr>
    <w:r>
      <w:rPr>
        <w:rFonts w:ascii="Times New Roman" w:hAnsi="Times New Roman" w:eastAsia="楷体"/>
        <w:b/>
        <w:bCs/>
        <w:color w:val="833C0B"/>
        <w:sz w:val="21"/>
      </w:rPr>
      <w:fldChar w:fldCharType="begin"/>
    </w:r>
    <w:r>
      <w:rPr>
        <w:rFonts w:ascii="Times New Roman" w:hAnsi="Times New Roman" w:eastAsia="楷体"/>
        <w:b/>
        <w:bCs/>
        <w:color w:val="833C0B"/>
        <w:sz w:val="21"/>
      </w:rPr>
      <w:instrText xml:space="preserve"> </w:instrText>
    </w:r>
    <w:r>
      <w:rPr>
        <w:rFonts w:hint="eastAsia" w:ascii="Times New Roman" w:hAnsi="Times New Roman" w:eastAsia="楷体"/>
        <w:b/>
        <w:bCs/>
        <w:color w:val="833C0B"/>
        <w:sz w:val="21"/>
      </w:rPr>
      <w:instrText xml:space="preserve">TIME \@ "yyyy年M月d日星期W"</w:instrText>
    </w:r>
    <w:r>
      <w:rPr>
        <w:rFonts w:ascii="Times New Roman" w:hAnsi="Times New Roman" w:eastAsia="楷体"/>
        <w:b/>
        <w:bCs/>
        <w:color w:val="833C0B"/>
        <w:sz w:val="21"/>
      </w:rPr>
      <w:instrText xml:space="preserve"> </w:instrText>
    </w:r>
    <w:r>
      <w:rPr>
        <w:rFonts w:ascii="Times New Roman" w:hAnsi="Times New Roman" w:eastAsia="楷体"/>
        <w:b/>
        <w:bCs/>
        <w:color w:val="833C0B"/>
        <w:sz w:val="21"/>
      </w:rPr>
      <w:fldChar w:fldCharType="separate"/>
    </w:r>
    <w:r>
      <w:rPr>
        <w:rFonts w:hint="eastAsia" w:ascii="Times New Roman" w:hAnsi="Times New Roman" w:eastAsia="楷体"/>
        <w:b/>
        <w:bCs/>
        <w:color w:val="833C0B"/>
        <w:sz w:val="21"/>
      </w:rPr>
      <w:t>2024年4月8日星期一</w:t>
    </w:r>
    <w:r>
      <w:rPr>
        <w:rFonts w:ascii="Times New Roman" w:hAnsi="Times New Roman" w:eastAsia="楷体"/>
        <w:b/>
        <w:bCs/>
        <w:color w:val="833C0B"/>
        <w:sz w:val="21"/>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5"/>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47"/>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36"/>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14"/>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46"/>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17"/>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33"/>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40"/>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20"/>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24"/>
      <w:lvlText w:val=""/>
      <w:lvlJc w:val="left"/>
      <w:pPr>
        <w:tabs>
          <w:tab w:val="left" w:pos="360"/>
        </w:tabs>
        <w:ind w:left="360" w:hanging="360" w:hangingChars="200"/>
      </w:pPr>
      <w:rPr>
        <w:rFonts w:hint="default" w:ascii="Wingdings" w:hAnsi="Wingdings"/>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3BBB"/>
    <w:rsid w:val="0000534E"/>
    <w:rsid w:val="000058D8"/>
    <w:rsid w:val="00006269"/>
    <w:rsid w:val="00010BF8"/>
    <w:rsid w:val="00012A9A"/>
    <w:rsid w:val="000151C6"/>
    <w:rsid w:val="00020E82"/>
    <w:rsid w:val="00024902"/>
    <w:rsid w:val="000249A6"/>
    <w:rsid w:val="00024C21"/>
    <w:rsid w:val="00032A7A"/>
    <w:rsid w:val="00035EB2"/>
    <w:rsid w:val="000417D7"/>
    <w:rsid w:val="00050B6C"/>
    <w:rsid w:val="0005286B"/>
    <w:rsid w:val="0005726F"/>
    <w:rsid w:val="00057E99"/>
    <w:rsid w:val="00060F08"/>
    <w:rsid w:val="00072E13"/>
    <w:rsid w:val="00072EAA"/>
    <w:rsid w:val="00073CEF"/>
    <w:rsid w:val="00076420"/>
    <w:rsid w:val="000820C6"/>
    <w:rsid w:val="0008229A"/>
    <w:rsid w:val="00093E40"/>
    <w:rsid w:val="00094BAE"/>
    <w:rsid w:val="00096258"/>
    <w:rsid w:val="000A390A"/>
    <w:rsid w:val="000A413E"/>
    <w:rsid w:val="000A476D"/>
    <w:rsid w:val="000B0648"/>
    <w:rsid w:val="000B4E70"/>
    <w:rsid w:val="000B56D3"/>
    <w:rsid w:val="000C102A"/>
    <w:rsid w:val="000C3C5C"/>
    <w:rsid w:val="000C475E"/>
    <w:rsid w:val="000C4F17"/>
    <w:rsid w:val="000D36DC"/>
    <w:rsid w:val="000D42E2"/>
    <w:rsid w:val="000D7CF0"/>
    <w:rsid w:val="000E03FC"/>
    <w:rsid w:val="000E0968"/>
    <w:rsid w:val="000E0C15"/>
    <w:rsid w:val="000E4EEB"/>
    <w:rsid w:val="00115EEA"/>
    <w:rsid w:val="00117470"/>
    <w:rsid w:val="00120B1F"/>
    <w:rsid w:val="00121DBA"/>
    <w:rsid w:val="0012609D"/>
    <w:rsid w:val="001275B7"/>
    <w:rsid w:val="00127803"/>
    <w:rsid w:val="00127FF1"/>
    <w:rsid w:val="00147668"/>
    <w:rsid w:val="00147B03"/>
    <w:rsid w:val="0015047B"/>
    <w:rsid w:val="00152664"/>
    <w:rsid w:val="001529BB"/>
    <w:rsid w:val="00155A0F"/>
    <w:rsid w:val="00156FEB"/>
    <w:rsid w:val="001579F3"/>
    <w:rsid w:val="00163783"/>
    <w:rsid w:val="00163984"/>
    <w:rsid w:val="00170E7B"/>
    <w:rsid w:val="00170EDF"/>
    <w:rsid w:val="001801C4"/>
    <w:rsid w:val="0018476D"/>
    <w:rsid w:val="0018678E"/>
    <w:rsid w:val="001942CB"/>
    <w:rsid w:val="001945E9"/>
    <w:rsid w:val="001A3E49"/>
    <w:rsid w:val="001A44F9"/>
    <w:rsid w:val="001B0610"/>
    <w:rsid w:val="001B179D"/>
    <w:rsid w:val="001B1904"/>
    <w:rsid w:val="001B25C9"/>
    <w:rsid w:val="001B2D4C"/>
    <w:rsid w:val="001B6043"/>
    <w:rsid w:val="001B6394"/>
    <w:rsid w:val="001B6B7D"/>
    <w:rsid w:val="001C267B"/>
    <w:rsid w:val="001C2E87"/>
    <w:rsid w:val="001C77D0"/>
    <w:rsid w:val="001D1F0A"/>
    <w:rsid w:val="001D40EA"/>
    <w:rsid w:val="001D4474"/>
    <w:rsid w:val="001D5419"/>
    <w:rsid w:val="001D6E4C"/>
    <w:rsid w:val="001D7D0A"/>
    <w:rsid w:val="001E1A3C"/>
    <w:rsid w:val="001E3813"/>
    <w:rsid w:val="001F5070"/>
    <w:rsid w:val="001F5438"/>
    <w:rsid w:val="001F7531"/>
    <w:rsid w:val="001F79C6"/>
    <w:rsid w:val="002006C2"/>
    <w:rsid w:val="00201944"/>
    <w:rsid w:val="00206537"/>
    <w:rsid w:val="002074A1"/>
    <w:rsid w:val="00216C1E"/>
    <w:rsid w:val="00226406"/>
    <w:rsid w:val="0023093E"/>
    <w:rsid w:val="00230DB7"/>
    <w:rsid w:val="00235529"/>
    <w:rsid w:val="00244CA3"/>
    <w:rsid w:val="0025590B"/>
    <w:rsid w:val="00264E6F"/>
    <w:rsid w:val="00267FFD"/>
    <w:rsid w:val="0027652F"/>
    <w:rsid w:val="00282262"/>
    <w:rsid w:val="00284165"/>
    <w:rsid w:val="00285297"/>
    <w:rsid w:val="00291461"/>
    <w:rsid w:val="00292AE8"/>
    <w:rsid w:val="002951EB"/>
    <w:rsid w:val="00296325"/>
    <w:rsid w:val="00297A1B"/>
    <w:rsid w:val="002A0670"/>
    <w:rsid w:val="002A6C89"/>
    <w:rsid w:val="002B0F87"/>
    <w:rsid w:val="002B2257"/>
    <w:rsid w:val="002B294F"/>
    <w:rsid w:val="002B2B4E"/>
    <w:rsid w:val="002B32AE"/>
    <w:rsid w:val="002B32FF"/>
    <w:rsid w:val="002C0C59"/>
    <w:rsid w:val="002C73FE"/>
    <w:rsid w:val="002D7FC5"/>
    <w:rsid w:val="002F075C"/>
    <w:rsid w:val="002F545E"/>
    <w:rsid w:val="002F6AD1"/>
    <w:rsid w:val="002F7810"/>
    <w:rsid w:val="0031065A"/>
    <w:rsid w:val="00320AB1"/>
    <w:rsid w:val="00321629"/>
    <w:rsid w:val="003230A0"/>
    <w:rsid w:val="00323550"/>
    <w:rsid w:val="003238A5"/>
    <w:rsid w:val="00330C71"/>
    <w:rsid w:val="0033167B"/>
    <w:rsid w:val="00332216"/>
    <w:rsid w:val="00332F22"/>
    <w:rsid w:val="0033644D"/>
    <w:rsid w:val="003416C2"/>
    <w:rsid w:val="00341727"/>
    <w:rsid w:val="00344AED"/>
    <w:rsid w:val="003471F4"/>
    <w:rsid w:val="003523FF"/>
    <w:rsid w:val="00357545"/>
    <w:rsid w:val="00370D25"/>
    <w:rsid w:val="00371ED6"/>
    <w:rsid w:val="00374836"/>
    <w:rsid w:val="00375F0B"/>
    <w:rsid w:val="00376AF1"/>
    <w:rsid w:val="00380E38"/>
    <w:rsid w:val="00381978"/>
    <w:rsid w:val="00383B5C"/>
    <w:rsid w:val="0038626D"/>
    <w:rsid w:val="0038677D"/>
    <w:rsid w:val="003953FD"/>
    <w:rsid w:val="003A1F3C"/>
    <w:rsid w:val="003A3DB4"/>
    <w:rsid w:val="003A5DDB"/>
    <w:rsid w:val="003C32DB"/>
    <w:rsid w:val="003C4855"/>
    <w:rsid w:val="003C54F5"/>
    <w:rsid w:val="003C5F91"/>
    <w:rsid w:val="003C70A3"/>
    <w:rsid w:val="003D3A9E"/>
    <w:rsid w:val="003F2424"/>
    <w:rsid w:val="003F43FB"/>
    <w:rsid w:val="003F56A5"/>
    <w:rsid w:val="00404AFE"/>
    <w:rsid w:val="004123EF"/>
    <w:rsid w:val="0041664D"/>
    <w:rsid w:val="004177A8"/>
    <w:rsid w:val="004201F5"/>
    <w:rsid w:val="004230AC"/>
    <w:rsid w:val="00426AB5"/>
    <w:rsid w:val="00430222"/>
    <w:rsid w:val="00433C64"/>
    <w:rsid w:val="00440FBE"/>
    <w:rsid w:val="004427D1"/>
    <w:rsid w:val="00443773"/>
    <w:rsid w:val="00452F14"/>
    <w:rsid w:val="004567BD"/>
    <w:rsid w:val="00461147"/>
    <w:rsid w:val="004648E2"/>
    <w:rsid w:val="0047103A"/>
    <w:rsid w:val="00481046"/>
    <w:rsid w:val="00484C53"/>
    <w:rsid w:val="00485A3F"/>
    <w:rsid w:val="00486646"/>
    <w:rsid w:val="00487F77"/>
    <w:rsid w:val="00490056"/>
    <w:rsid w:val="00491DD7"/>
    <w:rsid w:val="00495F18"/>
    <w:rsid w:val="004977A9"/>
    <w:rsid w:val="004A1926"/>
    <w:rsid w:val="004A382D"/>
    <w:rsid w:val="004A3F85"/>
    <w:rsid w:val="004A65B5"/>
    <w:rsid w:val="004A78BA"/>
    <w:rsid w:val="004B4BB6"/>
    <w:rsid w:val="004B4D4D"/>
    <w:rsid w:val="004C11A7"/>
    <w:rsid w:val="004C4541"/>
    <w:rsid w:val="004C4CA5"/>
    <w:rsid w:val="004C5F3F"/>
    <w:rsid w:val="004D0484"/>
    <w:rsid w:val="004D1AE5"/>
    <w:rsid w:val="004D6F74"/>
    <w:rsid w:val="004E269E"/>
    <w:rsid w:val="004E2959"/>
    <w:rsid w:val="004E3A10"/>
    <w:rsid w:val="004E58A5"/>
    <w:rsid w:val="004E6093"/>
    <w:rsid w:val="004E6F41"/>
    <w:rsid w:val="004F2492"/>
    <w:rsid w:val="00503551"/>
    <w:rsid w:val="0051222D"/>
    <w:rsid w:val="005145ED"/>
    <w:rsid w:val="00521683"/>
    <w:rsid w:val="00523E95"/>
    <w:rsid w:val="005245A4"/>
    <w:rsid w:val="00526949"/>
    <w:rsid w:val="00533D1C"/>
    <w:rsid w:val="00535DC9"/>
    <w:rsid w:val="005376B7"/>
    <w:rsid w:val="00540298"/>
    <w:rsid w:val="00541F3F"/>
    <w:rsid w:val="0054268F"/>
    <w:rsid w:val="005460A3"/>
    <w:rsid w:val="00547DD7"/>
    <w:rsid w:val="00550252"/>
    <w:rsid w:val="00551A8D"/>
    <w:rsid w:val="005523A5"/>
    <w:rsid w:val="00553DEC"/>
    <w:rsid w:val="00554002"/>
    <w:rsid w:val="00557C07"/>
    <w:rsid w:val="00567E42"/>
    <w:rsid w:val="00572E35"/>
    <w:rsid w:val="00576234"/>
    <w:rsid w:val="005818A8"/>
    <w:rsid w:val="005842DF"/>
    <w:rsid w:val="0058734B"/>
    <w:rsid w:val="005903F3"/>
    <w:rsid w:val="00591B89"/>
    <w:rsid w:val="005926B7"/>
    <w:rsid w:val="00593B03"/>
    <w:rsid w:val="00593F40"/>
    <w:rsid w:val="0059697A"/>
    <w:rsid w:val="005A5EEB"/>
    <w:rsid w:val="005A79A4"/>
    <w:rsid w:val="005B5BDF"/>
    <w:rsid w:val="005B790A"/>
    <w:rsid w:val="005C05F7"/>
    <w:rsid w:val="005C05FA"/>
    <w:rsid w:val="005C49BA"/>
    <w:rsid w:val="005C5B1D"/>
    <w:rsid w:val="005D0D16"/>
    <w:rsid w:val="005E1CE0"/>
    <w:rsid w:val="005E6164"/>
    <w:rsid w:val="005F28F8"/>
    <w:rsid w:val="005F2CE6"/>
    <w:rsid w:val="005F45A8"/>
    <w:rsid w:val="005F5D8E"/>
    <w:rsid w:val="00605CB4"/>
    <w:rsid w:val="00606E2B"/>
    <w:rsid w:val="00610C41"/>
    <w:rsid w:val="00612D79"/>
    <w:rsid w:val="0061390B"/>
    <w:rsid w:val="00615F78"/>
    <w:rsid w:val="00620BEB"/>
    <w:rsid w:val="00622C65"/>
    <w:rsid w:val="00632593"/>
    <w:rsid w:val="006353D1"/>
    <w:rsid w:val="00637F19"/>
    <w:rsid w:val="00641752"/>
    <w:rsid w:val="00645DF5"/>
    <w:rsid w:val="00645EA4"/>
    <w:rsid w:val="00650F05"/>
    <w:rsid w:val="0065454E"/>
    <w:rsid w:val="00657B01"/>
    <w:rsid w:val="00661BB3"/>
    <w:rsid w:val="00666DE4"/>
    <w:rsid w:val="006755C1"/>
    <w:rsid w:val="006811C5"/>
    <w:rsid w:val="00686B2A"/>
    <w:rsid w:val="006911F3"/>
    <w:rsid w:val="006A135D"/>
    <w:rsid w:val="006A2D10"/>
    <w:rsid w:val="006A5214"/>
    <w:rsid w:val="006A6067"/>
    <w:rsid w:val="006A7A79"/>
    <w:rsid w:val="006B4A5D"/>
    <w:rsid w:val="006C38A8"/>
    <w:rsid w:val="006D21ED"/>
    <w:rsid w:val="006D66AE"/>
    <w:rsid w:val="006D725E"/>
    <w:rsid w:val="006E3745"/>
    <w:rsid w:val="006F220A"/>
    <w:rsid w:val="006F6553"/>
    <w:rsid w:val="007029E1"/>
    <w:rsid w:val="00702D65"/>
    <w:rsid w:val="00710028"/>
    <w:rsid w:val="007103A5"/>
    <w:rsid w:val="00710D22"/>
    <w:rsid w:val="007111CD"/>
    <w:rsid w:val="00717EF8"/>
    <w:rsid w:val="0072164F"/>
    <w:rsid w:val="007253E7"/>
    <w:rsid w:val="0072736C"/>
    <w:rsid w:val="007315D8"/>
    <w:rsid w:val="00740BD1"/>
    <w:rsid w:val="00743CFD"/>
    <w:rsid w:val="007664C1"/>
    <w:rsid w:val="007700C2"/>
    <w:rsid w:val="00772382"/>
    <w:rsid w:val="00782EFA"/>
    <w:rsid w:val="00785519"/>
    <w:rsid w:val="007866A5"/>
    <w:rsid w:val="0079299D"/>
    <w:rsid w:val="00792D31"/>
    <w:rsid w:val="00794D36"/>
    <w:rsid w:val="007952E9"/>
    <w:rsid w:val="00795500"/>
    <w:rsid w:val="0079639C"/>
    <w:rsid w:val="00796CB2"/>
    <w:rsid w:val="007A410D"/>
    <w:rsid w:val="007A66FE"/>
    <w:rsid w:val="007A713B"/>
    <w:rsid w:val="007B3290"/>
    <w:rsid w:val="007B42D0"/>
    <w:rsid w:val="007B4FCE"/>
    <w:rsid w:val="007B681E"/>
    <w:rsid w:val="007C1DB9"/>
    <w:rsid w:val="007C2FD2"/>
    <w:rsid w:val="007C62A6"/>
    <w:rsid w:val="007C6F18"/>
    <w:rsid w:val="007C7B84"/>
    <w:rsid w:val="007D2916"/>
    <w:rsid w:val="007D29EC"/>
    <w:rsid w:val="007D4BBD"/>
    <w:rsid w:val="007D67CC"/>
    <w:rsid w:val="007E1660"/>
    <w:rsid w:val="007E1FC2"/>
    <w:rsid w:val="007F09BE"/>
    <w:rsid w:val="007F1327"/>
    <w:rsid w:val="007F140C"/>
    <w:rsid w:val="007F186E"/>
    <w:rsid w:val="007F197B"/>
    <w:rsid w:val="0080339F"/>
    <w:rsid w:val="0080612D"/>
    <w:rsid w:val="00806354"/>
    <w:rsid w:val="0080692E"/>
    <w:rsid w:val="00806CD5"/>
    <w:rsid w:val="00806F4A"/>
    <w:rsid w:val="0080753A"/>
    <w:rsid w:val="008111C8"/>
    <w:rsid w:val="008149F4"/>
    <w:rsid w:val="00814F10"/>
    <w:rsid w:val="00815011"/>
    <w:rsid w:val="00815817"/>
    <w:rsid w:val="00815EF6"/>
    <w:rsid w:val="00816F85"/>
    <w:rsid w:val="00820D28"/>
    <w:rsid w:val="00822591"/>
    <w:rsid w:val="00827E8A"/>
    <w:rsid w:val="008316CB"/>
    <w:rsid w:val="0083288D"/>
    <w:rsid w:val="0083605E"/>
    <w:rsid w:val="00840F4E"/>
    <w:rsid w:val="008463FD"/>
    <w:rsid w:val="00853880"/>
    <w:rsid w:val="00856132"/>
    <w:rsid w:val="00860311"/>
    <w:rsid w:val="00861497"/>
    <w:rsid w:val="008649BB"/>
    <w:rsid w:val="008655EA"/>
    <w:rsid w:val="00867CA5"/>
    <w:rsid w:val="00873ECE"/>
    <w:rsid w:val="008740D4"/>
    <w:rsid w:val="00874708"/>
    <w:rsid w:val="00875F92"/>
    <w:rsid w:val="00876CE2"/>
    <w:rsid w:val="0087785E"/>
    <w:rsid w:val="00892203"/>
    <w:rsid w:val="0089393F"/>
    <w:rsid w:val="008A0893"/>
    <w:rsid w:val="008A11C6"/>
    <w:rsid w:val="008A1D22"/>
    <w:rsid w:val="008A4884"/>
    <w:rsid w:val="008B13D2"/>
    <w:rsid w:val="008B3268"/>
    <w:rsid w:val="008B361D"/>
    <w:rsid w:val="008C1554"/>
    <w:rsid w:val="008C3F42"/>
    <w:rsid w:val="008C53CE"/>
    <w:rsid w:val="008E2B15"/>
    <w:rsid w:val="008E33F3"/>
    <w:rsid w:val="008E3B84"/>
    <w:rsid w:val="008E54BD"/>
    <w:rsid w:val="008F1360"/>
    <w:rsid w:val="008F229B"/>
    <w:rsid w:val="008F2A6E"/>
    <w:rsid w:val="00903C18"/>
    <w:rsid w:val="00906E0C"/>
    <w:rsid w:val="00907943"/>
    <w:rsid w:val="00912194"/>
    <w:rsid w:val="009123AA"/>
    <w:rsid w:val="009127EC"/>
    <w:rsid w:val="00916E97"/>
    <w:rsid w:val="00920372"/>
    <w:rsid w:val="0092164B"/>
    <w:rsid w:val="009223B5"/>
    <w:rsid w:val="0092326A"/>
    <w:rsid w:val="009260D3"/>
    <w:rsid w:val="009316EC"/>
    <w:rsid w:val="009317CD"/>
    <w:rsid w:val="00934728"/>
    <w:rsid w:val="009644D9"/>
    <w:rsid w:val="00964539"/>
    <w:rsid w:val="0097131C"/>
    <w:rsid w:val="00972485"/>
    <w:rsid w:val="00973185"/>
    <w:rsid w:val="00982F5B"/>
    <w:rsid w:val="009870E4"/>
    <w:rsid w:val="00992BCC"/>
    <w:rsid w:val="009A12FA"/>
    <w:rsid w:val="009A564D"/>
    <w:rsid w:val="009B0D7B"/>
    <w:rsid w:val="009B3615"/>
    <w:rsid w:val="009B3801"/>
    <w:rsid w:val="009B534D"/>
    <w:rsid w:val="009B591A"/>
    <w:rsid w:val="009C30FE"/>
    <w:rsid w:val="009C3E56"/>
    <w:rsid w:val="009C483C"/>
    <w:rsid w:val="009D2477"/>
    <w:rsid w:val="009D2D8B"/>
    <w:rsid w:val="009D4A74"/>
    <w:rsid w:val="009D5253"/>
    <w:rsid w:val="009D5D79"/>
    <w:rsid w:val="009D64FE"/>
    <w:rsid w:val="009D75BB"/>
    <w:rsid w:val="009E0994"/>
    <w:rsid w:val="009E25E0"/>
    <w:rsid w:val="009E2C77"/>
    <w:rsid w:val="009E4452"/>
    <w:rsid w:val="009E5993"/>
    <w:rsid w:val="009E6D3E"/>
    <w:rsid w:val="009E7578"/>
    <w:rsid w:val="009E75B7"/>
    <w:rsid w:val="009F2C6B"/>
    <w:rsid w:val="009F5C7B"/>
    <w:rsid w:val="00A031CE"/>
    <w:rsid w:val="00A04421"/>
    <w:rsid w:val="00A11A0D"/>
    <w:rsid w:val="00A22080"/>
    <w:rsid w:val="00A223D3"/>
    <w:rsid w:val="00A32D1B"/>
    <w:rsid w:val="00A42079"/>
    <w:rsid w:val="00A4664E"/>
    <w:rsid w:val="00A531E8"/>
    <w:rsid w:val="00A573ED"/>
    <w:rsid w:val="00A60F08"/>
    <w:rsid w:val="00A61766"/>
    <w:rsid w:val="00A63022"/>
    <w:rsid w:val="00A6692C"/>
    <w:rsid w:val="00A71A7E"/>
    <w:rsid w:val="00A776D7"/>
    <w:rsid w:val="00A91C60"/>
    <w:rsid w:val="00A91E48"/>
    <w:rsid w:val="00A96E37"/>
    <w:rsid w:val="00A97444"/>
    <w:rsid w:val="00AA186F"/>
    <w:rsid w:val="00AA29E5"/>
    <w:rsid w:val="00AB0678"/>
    <w:rsid w:val="00AB3750"/>
    <w:rsid w:val="00AB4BF2"/>
    <w:rsid w:val="00AC00CF"/>
    <w:rsid w:val="00AC4EFA"/>
    <w:rsid w:val="00AC52CB"/>
    <w:rsid w:val="00AC5310"/>
    <w:rsid w:val="00AC7794"/>
    <w:rsid w:val="00AC7ECD"/>
    <w:rsid w:val="00AD009F"/>
    <w:rsid w:val="00AE6128"/>
    <w:rsid w:val="00AF299E"/>
    <w:rsid w:val="00AF54C5"/>
    <w:rsid w:val="00AF56FD"/>
    <w:rsid w:val="00AF5EA0"/>
    <w:rsid w:val="00B066DA"/>
    <w:rsid w:val="00B072C0"/>
    <w:rsid w:val="00B10135"/>
    <w:rsid w:val="00B10769"/>
    <w:rsid w:val="00B113F9"/>
    <w:rsid w:val="00B118A2"/>
    <w:rsid w:val="00B133D0"/>
    <w:rsid w:val="00B15418"/>
    <w:rsid w:val="00B17165"/>
    <w:rsid w:val="00B1737C"/>
    <w:rsid w:val="00B1758C"/>
    <w:rsid w:val="00B17639"/>
    <w:rsid w:val="00B23E58"/>
    <w:rsid w:val="00B23F73"/>
    <w:rsid w:val="00B30226"/>
    <w:rsid w:val="00B33C93"/>
    <w:rsid w:val="00B42124"/>
    <w:rsid w:val="00B443CE"/>
    <w:rsid w:val="00B449F5"/>
    <w:rsid w:val="00B4555A"/>
    <w:rsid w:val="00B51CAF"/>
    <w:rsid w:val="00B53C56"/>
    <w:rsid w:val="00B60464"/>
    <w:rsid w:val="00B606EF"/>
    <w:rsid w:val="00B618F8"/>
    <w:rsid w:val="00B64133"/>
    <w:rsid w:val="00B72E2D"/>
    <w:rsid w:val="00B745CB"/>
    <w:rsid w:val="00B805BD"/>
    <w:rsid w:val="00B80E26"/>
    <w:rsid w:val="00B81DA7"/>
    <w:rsid w:val="00B86490"/>
    <w:rsid w:val="00B873E2"/>
    <w:rsid w:val="00B91D3D"/>
    <w:rsid w:val="00B94E7D"/>
    <w:rsid w:val="00B97F08"/>
    <w:rsid w:val="00BA4663"/>
    <w:rsid w:val="00BA696B"/>
    <w:rsid w:val="00BA7212"/>
    <w:rsid w:val="00BC5F45"/>
    <w:rsid w:val="00BC71D6"/>
    <w:rsid w:val="00BD4C85"/>
    <w:rsid w:val="00BE1EFD"/>
    <w:rsid w:val="00BE4493"/>
    <w:rsid w:val="00BE456E"/>
    <w:rsid w:val="00BF3137"/>
    <w:rsid w:val="00BF4417"/>
    <w:rsid w:val="00BF44CB"/>
    <w:rsid w:val="00C02ECE"/>
    <w:rsid w:val="00C06AC7"/>
    <w:rsid w:val="00C13E0F"/>
    <w:rsid w:val="00C2031B"/>
    <w:rsid w:val="00C2080D"/>
    <w:rsid w:val="00C228D6"/>
    <w:rsid w:val="00C240C3"/>
    <w:rsid w:val="00C25562"/>
    <w:rsid w:val="00C265C5"/>
    <w:rsid w:val="00C27B89"/>
    <w:rsid w:val="00C34713"/>
    <w:rsid w:val="00C43DDB"/>
    <w:rsid w:val="00C46720"/>
    <w:rsid w:val="00C575E9"/>
    <w:rsid w:val="00C62202"/>
    <w:rsid w:val="00C6240E"/>
    <w:rsid w:val="00C647F2"/>
    <w:rsid w:val="00C66C6C"/>
    <w:rsid w:val="00C706BF"/>
    <w:rsid w:val="00C70FDD"/>
    <w:rsid w:val="00C73A39"/>
    <w:rsid w:val="00C80C0D"/>
    <w:rsid w:val="00C82E4D"/>
    <w:rsid w:val="00C85762"/>
    <w:rsid w:val="00C91234"/>
    <w:rsid w:val="00C93E36"/>
    <w:rsid w:val="00C950F3"/>
    <w:rsid w:val="00C96FB1"/>
    <w:rsid w:val="00CA1C01"/>
    <w:rsid w:val="00CB0962"/>
    <w:rsid w:val="00CB16F4"/>
    <w:rsid w:val="00CB1AC3"/>
    <w:rsid w:val="00CB1F18"/>
    <w:rsid w:val="00CB2FD2"/>
    <w:rsid w:val="00CB3015"/>
    <w:rsid w:val="00CB60E6"/>
    <w:rsid w:val="00CB657C"/>
    <w:rsid w:val="00CC03C4"/>
    <w:rsid w:val="00CC3E40"/>
    <w:rsid w:val="00CC3FFA"/>
    <w:rsid w:val="00CC6C03"/>
    <w:rsid w:val="00CD4FE6"/>
    <w:rsid w:val="00CD5884"/>
    <w:rsid w:val="00CD5DE8"/>
    <w:rsid w:val="00CD70A0"/>
    <w:rsid w:val="00CD74BD"/>
    <w:rsid w:val="00CE7723"/>
    <w:rsid w:val="00CE7903"/>
    <w:rsid w:val="00CF42F6"/>
    <w:rsid w:val="00CF6C71"/>
    <w:rsid w:val="00CF7A9A"/>
    <w:rsid w:val="00D00D60"/>
    <w:rsid w:val="00D017E5"/>
    <w:rsid w:val="00D01A19"/>
    <w:rsid w:val="00D04FF1"/>
    <w:rsid w:val="00D07CDB"/>
    <w:rsid w:val="00D1367C"/>
    <w:rsid w:val="00D14B3E"/>
    <w:rsid w:val="00D1582A"/>
    <w:rsid w:val="00D17FB1"/>
    <w:rsid w:val="00D21BE4"/>
    <w:rsid w:val="00D25C5A"/>
    <w:rsid w:val="00D309C4"/>
    <w:rsid w:val="00D32D2F"/>
    <w:rsid w:val="00D341CA"/>
    <w:rsid w:val="00D41AF4"/>
    <w:rsid w:val="00D4554A"/>
    <w:rsid w:val="00D45E53"/>
    <w:rsid w:val="00D47039"/>
    <w:rsid w:val="00D55EAF"/>
    <w:rsid w:val="00D63655"/>
    <w:rsid w:val="00D66257"/>
    <w:rsid w:val="00D673AD"/>
    <w:rsid w:val="00D75630"/>
    <w:rsid w:val="00D762B2"/>
    <w:rsid w:val="00D81ED8"/>
    <w:rsid w:val="00D842AA"/>
    <w:rsid w:val="00D86D76"/>
    <w:rsid w:val="00D87130"/>
    <w:rsid w:val="00D93E0B"/>
    <w:rsid w:val="00DA6860"/>
    <w:rsid w:val="00DA7546"/>
    <w:rsid w:val="00DB1A98"/>
    <w:rsid w:val="00DB4E25"/>
    <w:rsid w:val="00DB6FBE"/>
    <w:rsid w:val="00DC47C0"/>
    <w:rsid w:val="00DC68BB"/>
    <w:rsid w:val="00DC6C77"/>
    <w:rsid w:val="00DD145E"/>
    <w:rsid w:val="00DD1480"/>
    <w:rsid w:val="00DD29E1"/>
    <w:rsid w:val="00DD334E"/>
    <w:rsid w:val="00DE02C4"/>
    <w:rsid w:val="00DF07E7"/>
    <w:rsid w:val="00DF164D"/>
    <w:rsid w:val="00DF1796"/>
    <w:rsid w:val="00DF270D"/>
    <w:rsid w:val="00DF3137"/>
    <w:rsid w:val="00DF3B28"/>
    <w:rsid w:val="00DF5606"/>
    <w:rsid w:val="00DF56EC"/>
    <w:rsid w:val="00E020F2"/>
    <w:rsid w:val="00E02FF2"/>
    <w:rsid w:val="00E12059"/>
    <w:rsid w:val="00E17555"/>
    <w:rsid w:val="00E204D2"/>
    <w:rsid w:val="00E25D21"/>
    <w:rsid w:val="00E2618F"/>
    <w:rsid w:val="00E31716"/>
    <w:rsid w:val="00E32B95"/>
    <w:rsid w:val="00E34551"/>
    <w:rsid w:val="00E34EAB"/>
    <w:rsid w:val="00E373B2"/>
    <w:rsid w:val="00E40036"/>
    <w:rsid w:val="00E41969"/>
    <w:rsid w:val="00E423B5"/>
    <w:rsid w:val="00E45000"/>
    <w:rsid w:val="00E451FD"/>
    <w:rsid w:val="00E4667F"/>
    <w:rsid w:val="00E50E93"/>
    <w:rsid w:val="00E52CE0"/>
    <w:rsid w:val="00E556EC"/>
    <w:rsid w:val="00E55B22"/>
    <w:rsid w:val="00E60D44"/>
    <w:rsid w:val="00E63EF8"/>
    <w:rsid w:val="00E64502"/>
    <w:rsid w:val="00E66570"/>
    <w:rsid w:val="00E66C98"/>
    <w:rsid w:val="00E72567"/>
    <w:rsid w:val="00E7672C"/>
    <w:rsid w:val="00E771D2"/>
    <w:rsid w:val="00E80EDB"/>
    <w:rsid w:val="00E84794"/>
    <w:rsid w:val="00E847DF"/>
    <w:rsid w:val="00E90013"/>
    <w:rsid w:val="00E928BB"/>
    <w:rsid w:val="00E93488"/>
    <w:rsid w:val="00EA0CCD"/>
    <w:rsid w:val="00EA28CA"/>
    <w:rsid w:val="00EA4444"/>
    <w:rsid w:val="00EA6A01"/>
    <w:rsid w:val="00EB0E23"/>
    <w:rsid w:val="00EB17AF"/>
    <w:rsid w:val="00EB4C04"/>
    <w:rsid w:val="00EB56F2"/>
    <w:rsid w:val="00EC08B2"/>
    <w:rsid w:val="00EC2B12"/>
    <w:rsid w:val="00EC4D59"/>
    <w:rsid w:val="00ED06A6"/>
    <w:rsid w:val="00ED2A64"/>
    <w:rsid w:val="00ED451D"/>
    <w:rsid w:val="00ED7C55"/>
    <w:rsid w:val="00EE2FDC"/>
    <w:rsid w:val="00F07C02"/>
    <w:rsid w:val="00F157C6"/>
    <w:rsid w:val="00F234BF"/>
    <w:rsid w:val="00F268B3"/>
    <w:rsid w:val="00F27014"/>
    <w:rsid w:val="00F31CCA"/>
    <w:rsid w:val="00F32BBA"/>
    <w:rsid w:val="00F43E0E"/>
    <w:rsid w:val="00F473F0"/>
    <w:rsid w:val="00F47540"/>
    <w:rsid w:val="00F50569"/>
    <w:rsid w:val="00F51139"/>
    <w:rsid w:val="00F52969"/>
    <w:rsid w:val="00F55F14"/>
    <w:rsid w:val="00F622ED"/>
    <w:rsid w:val="00F65EEA"/>
    <w:rsid w:val="00F776D3"/>
    <w:rsid w:val="00F84075"/>
    <w:rsid w:val="00F90537"/>
    <w:rsid w:val="00F91733"/>
    <w:rsid w:val="00F920DB"/>
    <w:rsid w:val="00F95209"/>
    <w:rsid w:val="00F964AD"/>
    <w:rsid w:val="00FB3956"/>
    <w:rsid w:val="00FC0F8B"/>
    <w:rsid w:val="00FC24AF"/>
    <w:rsid w:val="00FD53BA"/>
    <w:rsid w:val="00FD6B0E"/>
    <w:rsid w:val="00FD7E42"/>
    <w:rsid w:val="00FE1B77"/>
    <w:rsid w:val="00FE40D8"/>
    <w:rsid w:val="00FE7219"/>
    <w:rsid w:val="00FF0163"/>
    <w:rsid w:val="01954D8D"/>
    <w:rsid w:val="02E32A5D"/>
    <w:rsid w:val="035D5749"/>
    <w:rsid w:val="04C17862"/>
    <w:rsid w:val="057D13AE"/>
    <w:rsid w:val="064A667C"/>
    <w:rsid w:val="06B2613D"/>
    <w:rsid w:val="06B753E3"/>
    <w:rsid w:val="08A51999"/>
    <w:rsid w:val="09B849A4"/>
    <w:rsid w:val="09F160E3"/>
    <w:rsid w:val="0AC64130"/>
    <w:rsid w:val="0B42525D"/>
    <w:rsid w:val="0C1F7DEE"/>
    <w:rsid w:val="0C88769D"/>
    <w:rsid w:val="0CDE660D"/>
    <w:rsid w:val="0D032A7C"/>
    <w:rsid w:val="0F662138"/>
    <w:rsid w:val="0F9B0CE9"/>
    <w:rsid w:val="0FF35275"/>
    <w:rsid w:val="100732C8"/>
    <w:rsid w:val="10DA6205"/>
    <w:rsid w:val="111441F0"/>
    <w:rsid w:val="113D3FD2"/>
    <w:rsid w:val="121F7D21"/>
    <w:rsid w:val="129B2E20"/>
    <w:rsid w:val="12AA5DF8"/>
    <w:rsid w:val="1330029C"/>
    <w:rsid w:val="134E6356"/>
    <w:rsid w:val="13AE24B4"/>
    <w:rsid w:val="15364A7C"/>
    <w:rsid w:val="15602ADB"/>
    <w:rsid w:val="15D52593"/>
    <w:rsid w:val="197E6634"/>
    <w:rsid w:val="1B8A2034"/>
    <w:rsid w:val="1BC72FF7"/>
    <w:rsid w:val="1D03226A"/>
    <w:rsid w:val="1D5030CD"/>
    <w:rsid w:val="1D876087"/>
    <w:rsid w:val="1DFF64E4"/>
    <w:rsid w:val="1ECB51CD"/>
    <w:rsid w:val="1F515CF1"/>
    <w:rsid w:val="1FDC1B35"/>
    <w:rsid w:val="1FDD0CDB"/>
    <w:rsid w:val="2056595D"/>
    <w:rsid w:val="20AE4DE8"/>
    <w:rsid w:val="21194658"/>
    <w:rsid w:val="216834DE"/>
    <w:rsid w:val="21996AC1"/>
    <w:rsid w:val="219F3EE2"/>
    <w:rsid w:val="21F57098"/>
    <w:rsid w:val="22BB5089"/>
    <w:rsid w:val="24321B2E"/>
    <w:rsid w:val="244B21DE"/>
    <w:rsid w:val="245C7DFE"/>
    <w:rsid w:val="247F3074"/>
    <w:rsid w:val="24B82D9D"/>
    <w:rsid w:val="251328EC"/>
    <w:rsid w:val="258A2E5C"/>
    <w:rsid w:val="25B924F3"/>
    <w:rsid w:val="25E06B30"/>
    <w:rsid w:val="268419CF"/>
    <w:rsid w:val="26AC2D80"/>
    <w:rsid w:val="26F95364"/>
    <w:rsid w:val="29A303B9"/>
    <w:rsid w:val="2B9C319C"/>
    <w:rsid w:val="2C1D776C"/>
    <w:rsid w:val="2C453820"/>
    <w:rsid w:val="2C527F9F"/>
    <w:rsid w:val="2C6C12B9"/>
    <w:rsid w:val="2CA93C52"/>
    <w:rsid w:val="2D912E3A"/>
    <w:rsid w:val="2DC02C2B"/>
    <w:rsid w:val="2DE440F7"/>
    <w:rsid w:val="2FA14A50"/>
    <w:rsid w:val="2FA70F17"/>
    <w:rsid w:val="30CB447B"/>
    <w:rsid w:val="32951C0D"/>
    <w:rsid w:val="33CE5AF4"/>
    <w:rsid w:val="340E7198"/>
    <w:rsid w:val="34A75784"/>
    <w:rsid w:val="3581551C"/>
    <w:rsid w:val="373F75CC"/>
    <w:rsid w:val="38F320AA"/>
    <w:rsid w:val="399D40A5"/>
    <w:rsid w:val="3A2F6D68"/>
    <w:rsid w:val="3AC9385E"/>
    <w:rsid w:val="3B3306F0"/>
    <w:rsid w:val="3B563B4D"/>
    <w:rsid w:val="3C2825B0"/>
    <w:rsid w:val="3C2B26B7"/>
    <w:rsid w:val="3C881F02"/>
    <w:rsid w:val="3CB420C3"/>
    <w:rsid w:val="3D8B796D"/>
    <w:rsid w:val="3DA80A30"/>
    <w:rsid w:val="3E643221"/>
    <w:rsid w:val="3EC32453"/>
    <w:rsid w:val="3ECC520D"/>
    <w:rsid w:val="3EE0186C"/>
    <w:rsid w:val="3EFE09FD"/>
    <w:rsid w:val="3F345DBE"/>
    <w:rsid w:val="40F15753"/>
    <w:rsid w:val="41F950F8"/>
    <w:rsid w:val="42EB3BA1"/>
    <w:rsid w:val="43F11831"/>
    <w:rsid w:val="43F63E0D"/>
    <w:rsid w:val="44092E2E"/>
    <w:rsid w:val="441077D2"/>
    <w:rsid w:val="44396064"/>
    <w:rsid w:val="459609D9"/>
    <w:rsid w:val="45A37566"/>
    <w:rsid w:val="45CF0A85"/>
    <w:rsid w:val="46194A11"/>
    <w:rsid w:val="461E2AF1"/>
    <w:rsid w:val="47752ACA"/>
    <w:rsid w:val="47C813F2"/>
    <w:rsid w:val="49BF13F0"/>
    <w:rsid w:val="4A4A74EF"/>
    <w:rsid w:val="4A6F6249"/>
    <w:rsid w:val="4AB74C38"/>
    <w:rsid w:val="4B14426D"/>
    <w:rsid w:val="4B6224E5"/>
    <w:rsid w:val="4B8C4A56"/>
    <w:rsid w:val="4BF97936"/>
    <w:rsid w:val="4C457E30"/>
    <w:rsid w:val="4D2A3925"/>
    <w:rsid w:val="4DB20386"/>
    <w:rsid w:val="4DF02D90"/>
    <w:rsid w:val="5005695E"/>
    <w:rsid w:val="50286811"/>
    <w:rsid w:val="51266B84"/>
    <w:rsid w:val="5191036A"/>
    <w:rsid w:val="546B5509"/>
    <w:rsid w:val="548642E9"/>
    <w:rsid w:val="54C12E33"/>
    <w:rsid w:val="55633225"/>
    <w:rsid w:val="56DD4D3A"/>
    <w:rsid w:val="57555A7B"/>
    <w:rsid w:val="5770382C"/>
    <w:rsid w:val="57846909"/>
    <w:rsid w:val="57CB522F"/>
    <w:rsid w:val="57F46FBE"/>
    <w:rsid w:val="58042686"/>
    <w:rsid w:val="58246D5D"/>
    <w:rsid w:val="58EC5960"/>
    <w:rsid w:val="59151C86"/>
    <w:rsid w:val="59C52328"/>
    <w:rsid w:val="5AD37D8A"/>
    <w:rsid w:val="5AF87BF9"/>
    <w:rsid w:val="5B906095"/>
    <w:rsid w:val="5BF60A75"/>
    <w:rsid w:val="5C9F2D01"/>
    <w:rsid w:val="5D3F3466"/>
    <w:rsid w:val="5D5617A6"/>
    <w:rsid w:val="5D716329"/>
    <w:rsid w:val="5EA23F15"/>
    <w:rsid w:val="5EA7685B"/>
    <w:rsid w:val="5ED40954"/>
    <w:rsid w:val="60BE22C5"/>
    <w:rsid w:val="612C30C5"/>
    <w:rsid w:val="619A2BBF"/>
    <w:rsid w:val="61DF02D0"/>
    <w:rsid w:val="62710E5F"/>
    <w:rsid w:val="63735B47"/>
    <w:rsid w:val="63FF1EA7"/>
    <w:rsid w:val="64C32497"/>
    <w:rsid w:val="669D0EEA"/>
    <w:rsid w:val="66C861F9"/>
    <w:rsid w:val="66D04BBC"/>
    <w:rsid w:val="67655BF9"/>
    <w:rsid w:val="67C6389B"/>
    <w:rsid w:val="685D4EEE"/>
    <w:rsid w:val="68AE1587"/>
    <w:rsid w:val="68D53E8D"/>
    <w:rsid w:val="6A194855"/>
    <w:rsid w:val="6B292599"/>
    <w:rsid w:val="6D9172E5"/>
    <w:rsid w:val="6E133456"/>
    <w:rsid w:val="6ECB7DD2"/>
    <w:rsid w:val="6F1E315D"/>
    <w:rsid w:val="6F79454F"/>
    <w:rsid w:val="6FE61065"/>
    <w:rsid w:val="70675779"/>
    <w:rsid w:val="713E0334"/>
    <w:rsid w:val="716F5E64"/>
    <w:rsid w:val="72417AFE"/>
    <w:rsid w:val="729B5F03"/>
    <w:rsid w:val="72D92B78"/>
    <w:rsid w:val="72F62A89"/>
    <w:rsid w:val="737357AF"/>
    <w:rsid w:val="74163BE4"/>
    <w:rsid w:val="74A928A6"/>
    <w:rsid w:val="75292EAC"/>
    <w:rsid w:val="755A5FEF"/>
    <w:rsid w:val="75775016"/>
    <w:rsid w:val="758E0106"/>
    <w:rsid w:val="7626762C"/>
    <w:rsid w:val="778F5135"/>
    <w:rsid w:val="77B53D6B"/>
    <w:rsid w:val="77D54B08"/>
    <w:rsid w:val="784F7772"/>
    <w:rsid w:val="78713929"/>
    <w:rsid w:val="78E55995"/>
    <w:rsid w:val="79267C0B"/>
    <w:rsid w:val="79C90FB7"/>
    <w:rsid w:val="7A5B105F"/>
    <w:rsid w:val="7A9E5DA7"/>
    <w:rsid w:val="7ABE4B56"/>
    <w:rsid w:val="7B264F79"/>
    <w:rsid w:val="7B3E5659"/>
    <w:rsid w:val="7BCC4162"/>
    <w:rsid w:val="7CD80967"/>
    <w:rsid w:val="7D0C2828"/>
    <w:rsid w:val="7D902239"/>
    <w:rsid w:val="7EAF7817"/>
    <w:rsid w:val="7FD644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iPriority="0"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1"/>
      <w:lang w:val="en-US" w:eastAsia="zh-CN" w:bidi="ar-SA"/>
    </w:rPr>
  </w:style>
  <w:style w:type="paragraph" w:styleId="3">
    <w:name w:val="heading 1"/>
    <w:basedOn w:val="1"/>
    <w:next w:val="1"/>
    <w:link w:val="97"/>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03"/>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04"/>
    <w:semiHidden/>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105"/>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106"/>
    <w:semiHidden/>
    <w:unhideWhenUsed/>
    <w:qFormat/>
    <w:uiPriority w:val="0"/>
    <w:pPr>
      <w:keepNext/>
      <w:keepLines/>
      <w:spacing w:before="280" w:after="290" w:line="376" w:lineRule="auto"/>
      <w:outlineLvl w:val="4"/>
    </w:pPr>
    <w:rPr>
      <w:b/>
      <w:bCs/>
      <w:sz w:val="28"/>
      <w:szCs w:val="28"/>
    </w:rPr>
  </w:style>
  <w:style w:type="paragraph" w:styleId="8">
    <w:name w:val="heading 6"/>
    <w:basedOn w:val="1"/>
    <w:next w:val="1"/>
    <w:link w:val="107"/>
    <w:semiHidden/>
    <w:unhideWhenUsed/>
    <w:qFormat/>
    <w:uiPriority w:val="0"/>
    <w:pPr>
      <w:keepNext/>
      <w:keepLines/>
      <w:spacing w:before="240" w:after="64" w:line="320" w:lineRule="auto"/>
      <w:outlineLvl w:val="5"/>
    </w:pPr>
    <w:rPr>
      <w:rFonts w:asciiTheme="majorHAnsi" w:hAnsiTheme="majorHAnsi" w:eastAsiaTheme="majorEastAsia" w:cstheme="majorBidi"/>
      <w:b/>
      <w:bCs/>
      <w:sz w:val="24"/>
      <w:szCs w:val="24"/>
    </w:rPr>
  </w:style>
  <w:style w:type="paragraph" w:styleId="9">
    <w:name w:val="heading 7"/>
    <w:basedOn w:val="1"/>
    <w:next w:val="1"/>
    <w:link w:val="108"/>
    <w:semiHidden/>
    <w:unhideWhenUsed/>
    <w:qFormat/>
    <w:uiPriority w:val="0"/>
    <w:pPr>
      <w:keepNext/>
      <w:keepLines/>
      <w:spacing w:before="240" w:after="64" w:line="320" w:lineRule="auto"/>
      <w:outlineLvl w:val="6"/>
    </w:pPr>
    <w:rPr>
      <w:b/>
      <w:bCs/>
      <w:sz w:val="24"/>
      <w:szCs w:val="24"/>
    </w:rPr>
  </w:style>
  <w:style w:type="paragraph" w:styleId="10">
    <w:name w:val="heading 8"/>
    <w:basedOn w:val="1"/>
    <w:next w:val="1"/>
    <w:link w:val="109"/>
    <w:semiHidden/>
    <w:unhideWhenUsed/>
    <w:qFormat/>
    <w:uiPriority w:val="0"/>
    <w:pPr>
      <w:keepNext/>
      <w:keepLines/>
      <w:spacing w:before="240" w:after="64" w:line="320" w:lineRule="auto"/>
      <w:outlineLvl w:val="7"/>
    </w:pPr>
    <w:rPr>
      <w:rFonts w:asciiTheme="majorHAnsi" w:hAnsiTheme="majorHAnsi" w:eastAsiaTheme="majorEastAsia" w:cstheme="majorBidi"/>
      <w:sz w:val="24"/>
      <w:szCs w:val="24"/>
    </w:rPr>
  </w:style>
  <w:style w:type="paragraph" w:styleId="11">
    <w:name w:val="heading 9"/>
    <w:basedOn w:val="1"/>
    <w:next w:val="1"/>
    <w:link w:val="110"/>
    <w:semiHidden/>
    <w:unhideWhenUsed/>
    <w:qFormat/>
    <w:uiPriority w:val="0"/>
    <w:pPr>
      <w:keepNext/>
      <w:keepLines/>
      <w:spacing w:before="240" w:after="64" w:line="320" w:lineRule="auto"/>
      <w:outlineLvl w:val="8"/>
    </w:pPr>
    <w:rPr>
      <w:rFonts w:asciiTheme="majorHAnsi" w:hAnsiTheme="majorHAnsi" w:eastAsiaTheme="majorEastAsia" w:cstheme="majorBidi"/>
    </w:rPr>
  </w:style>
  <w:style w:type="character" w:default="1" w:styleId="90">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link w:val="115"/>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qFormat/>
    <w:uiPriority w:val="0"/>
    <w:pPr>
      <w:ind w:left="100" w:leftChars="400" w:hanging="200" w:hangingChars="200"/>
      <w:contextualSpacing/>
    </w:p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1"/>
      </w:numPr>
      <w:contextualSpacing/>
    </w:pPr>
  </w:style>
  <w:style w:type="paragraph" w:styleId="15">
    <w:name w:val="table of authorities"/>
    <w:basedOn w:val="1"/>
    <w:next w:val="1"/>
    <w:qFormat/>
    <w:uiPriority w:val="0"/>
    <w:pPr>
      <w:ind w:left="420" w:leftChars="200"/>
    </w:pPr>
  </w:style>
  <w:style w:type="paragraph" w:styleId="16">
    <w:name w:val="Note Heading"/>
    <w:basedOn w:val="1"/>
    <w:next w:val="1"/>
    <w:link w:val="140"/>
    <w:qFormat/>
    <w:uiPriority w:val="0"/>
    <w:pPr>
      <w:jc w:val="center"/>
    </w:pPr>
  </w:style>
  <w:style w:type="paragraph" w:styleId="17">
    <w:name w:val="List Bullet 4"/>
    <w:basedOn w:val="1"/>
    <w:qFormat/>
    <w:uiPriority w:val="0"/>
    <w:pPr>
      <w:numPr>
        <w:ilvl w:val="0"/>
        <w:numId w:val="2"/>
      </w:numPr>
      <w:contextualSpacing/>
    </w:pPr>
  </w:style>
  <w:style w:type="paragraph" w:styleId="18">
    <w:name w:val="index 8"/>
    <w:basedOn w:val="1"/>
    <w:next w:val="1"/>
    <w:qFormat/>
    <w:uiPriority w:val="0"/>
    <w:pPr>
      <w:ind w:left="1400" w:leftChars="1400"/>
    </w:pPr>
  </w:style>
  <w:style w:type="paragraph" w:styleId="19">
    <w:name w:val="E-mail Signature"/>
    <w:basedOn w:val="1"/>
    <w:link w:val="113"/>
    <w:qFormat/>
    <w:uiPriority w:val="0"/>
  </w:style>
  <w:style w:type="paragraph" w:styleId="20">
    <w:name w:val="List Number"/>
    <w:basedOn w:val="1"/>
    <w:qFormat/>
    <w:uiPriority w:val="0"/>
    <w:pPr>
      <w:numPr>
        <w:ilvl w:val="0"/>
        <w:numId w:val="3"/>
      </w:numPr>
      <w:contextualSpacing/>
    </w:pPr>
  </w:style>
  <w:style w:type="paragraph" w:styleId="21">
    <w:name w:val="Normal Indent"/>
    <w:basedOn w:val="1"/>
    <w:qFormat/>
    <w:uiPriority w:val="0"/>
    <w:pPr>
      <w:ind w:firstLine="420" w:firstLineChars="200"/>
    </w:pPr>
  </w:style>
  <w:style w:type="paragraph" w:styleId="22">
    <w:name w:val="caption"/>
    <w:basedOn w:val="1"/>
    <w:next w:val="1"/>
    <w:semiHidden/>
    <w:unhideWhenUsed/>
    <w:qFormat/>
    <w:uiPriority w:val="0"/>
    <w:rPr>
      <w:rFonts w:eastAsia="黑体" w:asciiTheme="majorHAnsi" w:hAnsiTheme="majorHAnsi" w:cstheme="majorBidi"/>
      <w:sz w:val="20"/>
      <w:szCs w:val="20"/>
    </w:rPr>
  </w:style>
  <w:style w:type="paragraph" w:styleId="23">
    <w:name w:val="index 5"/>
    <w:basedOn w:val="1"/>
    <w:next w:val="1"/>
    <w:qFormat/>
    <w:uiPriority w:val="0"/>
    <w:pPr>
      <w:ind w:left="800" w:leftChars="800"/>
    </w:pPr>
  </w:style>
  <w:style w:type="paragraph" w:styleId="24">
    <w:name w:val="List Bullet"/>
    <w:basedOn w:val="1"/>
    <w:qFormat/>
    <w:uiPriority w:val="0"/>
    <w:pPr>
      <w:numPr>
        <w:ilvl w:val="0"/>
        <w:numId w:val="4"/>
      </w:numPr>
      <w:contextualSpacing/>
    </w:pPr>
  </w:style>
  <w:style w:type="paragraph" w:styleId="25">
    <w:name w:val="envelope address"/>
    <w:basedOn w:val="1"/>
    <w:qFormat/>
    <w:uiPriority w:val="0"/>
    <w:pPr>
      <w:framePr w:w="7920" w:h="1980" w:hRule="exact" w:hSpace="180" w:wrap="auto" w:vAnchor="margin" w:hAnchor="page" w:xAlign="center" w:yAlign="bottom"/>
      <w:snapToGrid w:val="0"/>
      <w:ind w:left="100" w:leftChars="1400"/>
    </w:pPr>
    <w:rPr>
      <w:rFonts w:asciiTheme="majorHAnsi" w:hAnsiTheme="majorHAnsi" w:eastAsiaTheme="majorEastAsia" w:cstheme="majorBidi"/>
      <w:sz w:val="24"/>
      <w:szCs w:val="24"/>
    </w:rPr>
  </w:style>
  <w:style w:type="paragraph" w:styleId="26">
    <w:name w:val="Document Map"/>
    <w:basedOn w:val="1"/>
    <w:link w:val="127"/>
    <w:qFormat/>
    <w:uiPriority w:val="0"/>
    <w:rPr>
      <w:rFonts w:ascii="Microsoft YaHei UI" w:eastAsia="Microsoft YaHei UI"/>
      <w:sz w:val="18"/>
      <w:szCs w:val="18"/>
    </w:rPr>
  </w:style>
  <w:style w:type="paragraph" w:styleId="27">
    <w:name w:val="toa heading"/>
    <w:basedOn w:val="1"/>
    <w:next w:val="1"/>
    <w:qFormat/>
    <w:uiPriority w:val="0"/>
    <w:pPr>
      <w:spacing w:before="120"/>
    </w:pPr>
    <w:rPr>
      <w:rFonts w:asciiTheme="majorHAnsi" w:hAnsiTheme="majorHAnsi" w:eastAsiaTheme="majorEastAsia" w:cstheme="majorBidi"/>
      <w:sz w:val="24"/>
      <w:szCs w:val="24"/>
    </w:rPr>
  </w:style>
  <w:style w:type="paragraph" w:styleId="28">
    <w:name w:val="annotation text"/>
    <w:basedOn w:val="1"/>
    <w:link w:val="121"/>
    <w:qFormat/>
    <w:uiPriority w:val="0"/>
    <w:pPr>
      <w:jc w:val="left"/>
    </w:pPr>
  </w:style>
  <w:style w:type="paragraph" w:styleId="29">
    <w:name w:val="index 6"/>
    <w:basedOn w:val="1"/>
    <w:next w:val="1"/>
    <w:qFormat/>
    <w:uiPriority w:val="0"/>
    <w:pPr>
      <w:ind w:left="1000" w:leftChars="1000"/>
    </w:pPr>
  </w:style>
  <w:style w:type="paragraph" w:styleId="30">
    <w:name w:val="Salutation"/>
    <w:basedOn w:val="1"/>
    <w:next w:val="1"/>
    <w:link w:val="111"/>
    <w:qFormat/>
    <w:uiPriority w:val="0"/>
  </w:style>
  <w:style w:type="paragraph" w:styleId="31">
    <w:name w:val="Body Text 3"/>
    <w:basedOn w:val="1"/>
    <w:link w:val="137"/>
    <w:qFormat/>
    <w:uiPriority w:val="0"/>
    <w:pPr>
      <w:spacing w:after="120"/>
    </w:pPr>
    <w:rPr>
      <w:sz w:val="16"/>
      <w:szCs w:val="16"/>
    </w:rPr>
  </w:style>
  <w:style w:type="paragraph" w:styleId="32">
    <w:name w:val="Closing"/>
    <w:basedOn w:val="1"/>
    <w:link w:val="117"/>
    <w:qFormat/>
    <w:uiPriority w:val="0"/>
    <w:pPr>
      <w:ind w:left="100" w:leftChars="2100"/>
    </w:pPr>
  </w:style>
  <w:style w:type="paragraph" w:styleId="33">
    <w:name w:val="List Bullet 3"/>
    <w:basedOn w:val="1"/>
    <w:qFormat/>
    <w:uiPriority w:val="0"/>
    <w:pPr>
      <w:numPr>
        <w:ilvl w:val="0"/>
        <w:numId w:val="5"/>
      </w:numPr>
      <w:contextualSpacing/>
    </w:pPr>
  </w:style>
  <w:style w:type="paragraph" w:styleId="34">
    <w:name w:val="Body Text"/>
    <w:basedOn w:val="1"/>
    <w:link w:val="132"/>
    <w:qFormat/>
    <w:uiPriority w:val="0"/>
    <w:pPr>
      <w:spacing w:after="120"/>
    </w:pPr>
  </w:style>
  <w:style w:type="paragraph" w:styleId="35">
    <w:name w:val="Body Text Indent"/>
    <w:basedOn w:val="1"/>
    <w:link w:val="134"/>
    <w:qFormat/>
    <w:uiPriority w:val="0"/>
    <w:pPr>
      <w:spacing w:after="120"/>
      <w:ind w:left="420" w:leftChars="200"/>
    </w:pPr>
  </w:style>
  <w:style w:type="paragraph" w:styleId="36">
    <w:name w:val="List Number 3"/>
    <w:basedOn w:val="1"/>
    <w:qFormat/>
    <w:uiPriority w:val="0"/>
    <w:pPr>
      <w:numPr>
        <w:ilvl w:val="0"/>
        <w:numId w:val="6"/>
      </w:numPr>
      <w:contextualSpacing/>
    </w:pPr>
  </w:style>
  <w:style w:type="paragraph" w:styleId="37">
    <w:name w:val="List 2"/>
    <w:basedOn w:val="1"/>
    <w:qFormat/>
    <w:uiPriority w:val="0"/>
    <w:pPr>
      <w:ind w:left="100" w:leftChars="200" w:hanging="200" w:hangingChars="200"/>
      <w:contextualSpacing/>
    </w:pPr>
  </w:style>
  <w:style w:type="paragraph" w:styleId="38">
    <w:name w:val="List Continue"/>
    <w:basedOn w:val="1"/>
    <w:qFormat/>
    <w:uiPriority w:val="0"/>
    <w:pPr>
      <w:spacing w:after="120"/>
      <w:ind w:left="420" w:leftChars="200"/>
      <w:contextualSpacing/>
    </w:pPr>
  </w:style>
  <w:style w:type="paragraph" w:styleId="39">
    <w:name w:val="Block Text"/>
    <w:basedOn w:val="1"/>
    <w:qFormat/>
    <w:uiPriority w:val="0"/>
    <w:pPr>
      <w:spacing w:after="120"/>
      <w:ind w:left="1440" w:leftChars="700" w:right="1440" w:rightChars="700"/>
    </w:pPr>
  </w:style>
  <w:style w:type="paragraph" w:styleId="40">
    <w:name w:val="List Bullet 2"/>
    <w:basedOn w:val="1"/>
    <w:qFormat/>
    <w:uiPriority w:val="0"/>
    <w:pPr>
      <w:numPr>
        <w:ilvl w:val="0"/>
        <w:numId w:val="7"/>
      </w:numPr>
      <w:contextualSpacing/>
    </w:pPr>
  </w:style>
  <w:style w:type="paragraph" w:styleId="41">
    <w:name w:val="HTML Address"/>
    <w:basedOn w:val="1"/>
    <w:link w:val="99"/>
    <w:qFormat/>
    <w:uiPriority w:val="0"/>
    <w:rPr>
      <w:i/>
      <w:iCs/>
    </w:rPr>
  </w:style>
  <w:style w:type="paragraph" w:styleId="42">
    <w:name w:val="index 4"/>
    <w:basedOn w:val="1"/>
    <w:next w:val="1"/>
    <w:qFormat/>
    <w:uiPriority w:val="0"/>
    <w:pPr>
      <w:ind w:left="600" w:leftChars="600"/>
    </w:pPr>
  </w:style>
  <w:style w:type="paragraph" w:styleId="43">
    <w:name w:val="toc 5"/>
    <w:basedOn w:val="1"/>
    <w:next w:val="1"/>
    <w:qFormat/>
    <w:uiPriority w:val="0"/>
    <w:pPr>
      <w:ind w:left="1680" w:leftChars="800"/>
    </w:pPr>
  </w:style>
  <w:style w:type="paragraph" w:styleId="44">
    <w:name w:val="toc 3"/>
    <w:basedOn w:val="1"/>
    <w:next w:val="1"/>
    <w:qFormat/>
    <w:uiPriority w:val="0"/>
    <w:pPr>
      <w:ind w:left="840" w:leftChars="400"/>
    </w:pPr>
  </w:style>
  <w:style w:type="paragraph" w:styleId="45">
    <w:name w:val="Plain Text"/>
    <w:basedOn w:val="1"/>
    <w:link w:val="112"/>
    <w:qFormat/>
    <w:uiPriority w:val="0"/>
    <w:rPr>
      <w:rFonts w:hAnsi="Courier New" w:cs="Courier New" w:asciiTheme="minorEastAsia" w:eastAsiaTheme="minorEastAsia"/>
    </w:rPr>
  </w:style>
  <w:style w:type="paragraph" w:styleId="46">
    <w:name w:val="List Bullet 5"/>
    <w:basedOn w:val="1"/>
    <w:qFormat/>
    <w:uiPriority w:val="0"/>
    <w:pPr>
      <w:numPr>
        <w:ilvl w:val="0"/>
        <w:numId w:val="8"/>
      </w:numPr>
      <w:contextualSpacing/>
    </w:pPr>
  </w:style>
  <w:style w:type="paragraph" w:styleId="47">
    <w:name w:val="List Number 4"/>
    <w:basedOn w:val="1"/>
    <w:qFormat/>
    <w:uiPriority w:val="0"/>
    <w:pPr>
      <w:numPr>
        <w:ilvl w:val="0"/>
        <w:numId w:val="9"/>
      </w:numPr>
      <w:contextualSpacing/>
    </w:pPr>
  </w:style>
  <w:style w:type="paragraph" w:styleId="48">
    <w:name w:val="toc 8"/>
    <w:basedOn w:val="1"/>
    <w:next w:val="1"/>
    <w:qFormat/>
    <w:uiPriority w:val="0"/>
    <w:pPr>
      <w:ind w:left="2940" w:leftChars="1400"/>
    </w:pPr>
  </w:style>
  <w:style w:type="paragraph" w:styleId="49">
    <w:name w:val="index 3"/>
    <w:basedOn w:val="1"/>
    <w:next w:val="1"/>
    <w:qFormat/>
    <w:uiPriority w:val="0"/>
    <w:pPr>
      <w:ind w:left="400" w:leftChars="400"/>
    </w:pPr>
  </w:style>
  <w:style w:type="paragraph" w:styleId="50">
    <w:name w:val="Date"/>
    <w:basedOn w:val="1"/>
    <w:next w:val="1"/>
    <w:link w:val="124"/>
    <w:qFormat/>
    <w:uiPriority w:val="0"/>
    <w:pPr>
      <w:ind w:left="100" w:leftChars="2500"/>
    </w:pPr>
  </w:style>
  <w:style w:type="paragraph" w:styleId="51">
    <w:name w:val="Body Text Indent 2"/>
    <w:basedOn w:val="1"/>
    <w:link w:val="138"/>
    <w:qFormat/>
    <w:uiPriority w:val="0"/>
    <w:pPr>
      <w:spacing w:after="120" w:line="480" w:lineRule="auto"/>
      <w:ind w:left="420" w:leftChars="200"/>
    </w:pPr>
  </w:style>
  <w:style w:type="paragraph" w:styleId="52">
    <w:name w:val="endnote text"/>
    <w:basedOn w:val="1"/>
    <w:link w:val="126"/>
    <w:qFormat/>
    <w:uiPriority w:val="0"/>
    <w:pPr>
      <w:snapToGrid w:val="0"/>
      <w:jc w:val="left"/>
    </w:pPr>
  </w:style>
  <w:style w:type="paragraph" w:styleId="53">
    <w:name w:val="List Continue 5"/>
    <w:basedOn w:val="1"/>
    <w:qFormat/>
    <w:uiPriority w:val="0"/>
    <w:pPr>
      <w:spacing w:after="120"/>
      <w:ind w:left="2100" w:leftChars="1000"/>
      <w:contextualSpacing/>
    </w:pPr>
  </w:style>
  <w:style w:type="paragraph" w:styleId="54">
    <w:name w:val="Balloon Text"/>
    <w:basedOn w:val="1"/>
    <w:link w:val="120"/>
    <w:semiHidden/>
    <w:unhideWhenUsed/>
    <w:qFormat/>
    <w:uiPriority w:val="0"/>
    <w:rPr>
      <w:sz w:val="18"/>
      <w:szCs w:val="18"/>
    </w:rPr>
  </w:style>
  <w:style w:type="paragraph" w:styleId="55">
    <w:name w:val="footer"/>
    <w:basedOn w:val="1"/>
    <w:qFormat/>
    <w:uiPriority w:val="0"/>
    <w:pPr>
      <w:tabs>
        <w:tab w:val="center" w:pos="4153"/>
        <w:tab w:val="right" w:pos="8306"/>
      </w:tabs>
      <w:snapToGrid w:val="0"/>
      <w:jc w:val="left"/>
    </w:pPr>
    <w:rPr>
      <w:sz w:val="18"/>
    </w:rPr>
  </w:style>
  <w:style w:type="paragraph" w:styleId="56">
    <w:name w:val="envelope return"/>
    <w:basedOn w:val="1"/>
    <w:qFormat/>
    <w:uiPriority w:val="0"/>
    <w:pPr>
      <w:snapToGrid w:val="0"/>
    </w:pPr>
    <w:rPr>
      <w:rFonts w:asciiTheme="majorHAnsi" w:hAnsiTheme="majorHAnsi" w:eastAsiaTheme="majorEastAsia" w:cstheme="majorBidi"/>
    </w:rPr>
  </w:style>
  <w:style w:type="paragraph" w:styleId="5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8">
    <w:name w:val="Signature"/>
    <w:basedOn w:val="1"/>
    <w:link w:val="123"/>
    <w:qFormat/>
    <w:uiPriority w:val="0"/>
    <w:pPr>
      <w:ind w:left="100" w:leftChars="2100"/>
    </w:pPr>
  </w:style>
  <w:style w:type="paragraph" w:styleId="59">
    <w:name w:val="toc 1"/>
    <w:basedOn w:val="1"/>
    <w:next w:val="1"/>
    <w:qFormat/>
    <w:uiPriority w:val="39"/>
  </w:style>
  <w:style w:type="paragraph" w:styleId="60">
    <w:name w:val="List Continue 4"/>
    <w:basedOn w:val="1"/>
    <w:qFormat/>
    <w:uiPriority w:val="0"/>
    <w:pPr>
      <w:spacing w:after="120"/>
      <w:ind w:left="1680" w:leftChars="800"/>
      <w:contextualSpacing/>
    </w:pPr>
  </w:style>
  <w:style w:type="paragraph" w:styleId="61">
    <w:name w:val="toc 4"/>
    <w:basedOn w:val="1"/>
    <w:next w:val="1"/>
    <w:qFormat/>
    <w:uiPriority w:val="0"/>
    <w:pPr>
      <w:ind w:left="1260" w:leftChars="600"/>
    </w:pPr>
  </w:style>
  <w:style w:type="paragraph" w:styleId="62">
    <w:name w:val="index heading"/>
    <w:basedOn w:val="1"/>
    <w:next w:val="63"/>
    <w:qFormat/>
    <w:uiPriority w:val="0"/>
    <w:rPr>
      <w:rFonts w:asciiTheme="majorHAnsi" w:hAnsiTheme="majorHAnsi" w:eastAsiaTheme="majorEastAsia" w:cstheme="majorBidi"/>
      <w:b/>
      <w:bCs/>
    </w:rPr>
  </w:style>
  <w:style w:type="paragraph" w:styleId="63">
    <w:name w:val="index 1"/>
    <w:basedOn w:val="1"/>
    <w:next w:val="1"/>
    <w:qFormat/>
    <w:uiPriority w:val="0"/>
  </w:style>
  <w:style w:type="paragraph" w:styleId="64">
    <w:name w:val="Subtitle"/>
    <w:basedOn w:val="1"/>
    <w:next w:val="1"/>
    <w:link w:val="114"/>
    <w:qFormat/>
    <w:uiPriority w:val="0"/>
    <w:pPr>
      <w:spacing w:before="240" w:after="60" w:line="312" w:lineRule="auto"/>
      <w:jc w:val="center"/>
      <w:outlineLvl w:val="1"/>
    </w:pPr>
    <w:rPr>
      <w:rFonts w:eastAsiaTheme="minorEastAsia"/>
      <w:b/>
      <w:bCs/>
      <w:kern w:val="28"/>
      <w:sz w:val="32"/>
      <w:szCs w:val="32"/>
    </w:rPr>
  </w:style>
  <w:style w:type="paragraph" w:styleId="65">
    <w:name w:val="List Number 5"/>
    <w:basedOn w:val="1"/>
    <w:qFormat/>
    <w:uiPriority w:val="0"/>
    <w:pPr>
      <w:numPr>
        <w:ilvl w:val="0"/>
        <w:numId w:val="10"/>
      </w:numPr>
      <w:contextualSpacing/>
    </w:pPr>
  </w:style>
  <w:style w:type="paragraph" w:styleId="66">
    <w:name w:val="List"/>
    <w:basedOn w:val="1"/>
    <w:qFormat/>
    <w:uiPriority w:val="0"/>
    <w:pPr>
      <w:ind w:left="200" w:hanging="200" w:hangingChars="200"/>
      <w:contextualSpacing/>
    </w:pPr>
  </w:style>
  <w:style w:type="paragraph" w:styleId="67">
    <w:name w:val="footnote text"/>
    <w:basedOn w:val="1"/>
    <w:link w:val="116"/>
    <w:qFormat/>
    <w:uiPriority w:val="0"/>
    <w:pPr>
      <w:snapToGrid w:val="0"/>
      <w:jc w:val="left"/>
    </w:pPr>
    <w:rPr>
      <w:sz w:val="18"/>
      <w:szCs w:val="18"/>
    </w:rPr>
  </w:style>
  <w:style w:type="paragraph" w:styleId="68">
    <w:name w:val="toc 6"/>
    <w:basedOn w:val="1"/>
    <w:next w:val="1"/>
    <w:qFormat/>
    <w:uiPriority w:val="0"/>
    <w:pPr>
      <w:ind w:left="2100" w:leftChars="1000"/>
    </w:pPr>
  </w:style>
  <w:style w:type="paragraph" w:styleId="69">
    <w:name w:val="List 5"/>
    <w:basedOn w:val="1"/>
    <w:qFormat/>
    <w:uiPriority w:val="0"/>
    <w:pPr>
      <w:ind w:left="100" w:leftChars="800" w:hanging="200" w:hangingChars="200"/>
      <w:contextualSpacing/>
    </w:pPr>
  </w:style>
  <w:style w:type="paragraph" w:styleId="70">
    <w:name w:val="Body Text Indent 3"/>
    <w:basedOn w:val="1"/>
    <w:link w:val="139"/>
    <w:qFormat/>
    <w:uiPriority w:val="0"/>
    <w:pPr>
      <w:spacing w:after="120"/>
      <w:ind w:left="420" w:leftChars="200"/>
    </w:pPr>
    <w:rPr>
      <w:sz w:val="16"/>
      <w:szCs w:val="16"/>
    </w:rPr>
  </w:style>
  <w:style w:type="paragraph" w:styleId="71">
    <w:name w:val="index 7"/>
    <w:basedOn w:val="1"/>
    <w:next w:val="1"/>
    <w:qFormat/>
    <w:uiPriority w:val="0"/>
    <w:pPr>
      <w:ind w:left="1200" w:leftChars="1200"/>
    </w:pPr>
  </w:style>
  <w:style w:type="paragraph" w:styleId="72">
    <w:name w:val="index 9"/>
    <w:basedOn w:val="1"/>
    <w:next w:val="1"/>
    <w:qFormat/>
    <w:uiPriority w:val="0"/>
    <w:pPr>
      <w:ind w:left="1600" w:leftChars="1600"/>
    </w:pPr>
  </w:style>
  <w:style w:type="paragraph" w:styleId="73">
    <w:name w:val="table of figures"/>
    <w:basedOn w:val="1"/>
    <w:next w:val="1"/>
    <w:qFormat/>
    <w:uiPriority w:val="0"/>
    <w:pPr>
      <w:ind w:left="200" w:leftChars="200" w:hanging="200" w:hangingChars="200"/>
    </w:pPr>
  </w:style>
  <w:style w:type="paragraph" w:styleId="74">
    <w:name w:val="toc 2"/>
    <w:basedOn w:val="1"/>
    <w:next w:val="1"/>
    <w:qFormat/>
    <w:uiPriority w:val="39"/>
    <w:pPr>
      <w:ind w:left="420" w:leftChars="200"/>
    </w:pPr>
  </w:style>
  <w:style w:type="paragraph" w:styleId="75">
    <w:name w:val="toc 9"/>
    <w:basedOn w:val="1"/>
    <w:next w:val="1"/>
    <w:qFormat/>
    <w:uiPriority w:val="0"/>
    <w:pPr>
      <w:ind w:left="3360" w:leftChars="1600"/>
    </w:pPr>
  </w:style>
  <w:style w:type="paragraph" w:styleId="76">
    <w:name w:val="Body Text 2"/>
    <w:basedOn w:val="1"/>
    <w:link w:val="136"/>
    <w:qFormat/>
    <w:uiPriority w:val="0"/>
    <w:pPr>
      <w:spacing w:after="120" w:line="480" w:lineRule="auto"/>
    </w:pPr>
  </w:style>
  <w:style w:type="paragraph" w:styleId="77">
    <w:name w:val="List 4"/>
    <w:basedOn w:val="1"/>
    <w:qFormat/>
    <w:uiPriority w:val="0"/>
    <w:pPr>
      <w:ind w:left="100" w:leftChars="600" w:hanging="200" w:hangingChars="200"/>
      <w:contextualSpacing/>
    </w:pPr>
  </w:style>
  <w:style w:type="paragraph" w:styleId="78">
    <w:name w:val="List Continue 2"/>
    <w:basedOn w:val="1"/>
    <w:qFormat/>
    <w:uiPriority w:val="0"/>
    <w:pPr>
      <w:spacing w:after="120"/>
      <w:ind w:left="840" w:leftChars="400"/>
      <w:contextualSpacing/>
    </w:pPr>
  </w:style>
  <w:style w:type="paragraph" w:styleId="79">
    <w:name w:val="Message Header"/>
    <w:basedOn w:val="1"/>
    <w:link w:val="129"/>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szCs w:val="24"/>
    </w:rPr>
  </w:style>
  <w:style w:type="paragraph" w:styleId="80">
    <w:name w:val="HTML Preformatted"/>
    <w:basedOn w:val="1"/>
    <w:link w:val="100"/>
    <w:qFormat/>
    <w:uiPriority w:val="0"/>
    <w:rPr>
      <w:rFonts w:ascii="Courier New" w:hAnsi="Courier New" w:cs="Courier New"/>
      <w:sz w:val="20"/>
      <w:szCs w:val="20"/>
    </w:rPr>
  </w:style>
  <w:style w:type="paragraph" w:styleId="81">
    <w:name w:val="Normal (Web)"/>
    <w:basedOn w:val="1"/>
    <w:qFormat/>
    <w:uiPriority w:val="0"/>
    <w:rPr>
      <w:rFonts w:ascii="Times New Roman" w:hAnsi="Times New Roman" w:cs="Times New Roman"/>
      <w:sz w:val="24"/>
      <w:szCs w:val="24"/>
    </w:rPr>
  </w:style>
  <w:style w:type="paragraph" w:styleId="82">
    <w:name w:val="List Continue 3"/>
    <w:basedOn w:val="1"/>
    <w:qFormat/>
    <w:uiPriority w:val="0"/>
    <w:pPr>
      <w:spacing w:after="120"/>
      <w:ind w:left="1260" w:leftChars="600"/>
      <w:contextualSpacing/>
    </w:pPr>
  </w:style>
  <w:style w:type="paragraph" w:styleId="83">
    <w:name w:val="index 2"/>
    <w:basedOn w:val="1"/>
    <w:next w:val="1"/>
    <w:qFormat/>
    <w:uiPriority w:val="0"/>
    <w:pPr>
      <w:ind w:left="200" w:leftChars="200"/>
    </w:pPr>
  </w:style>
  <w:style w:type="paragraph" w:styleId="84">
    <w:name w:val="Title"/>
    <w:basedOn w:val="1"/>
    <w:next w:val="1"/>
    <w:link w:val="102"/>
    <w:qFormat/>
    <w:uiPriority w:val="0"/>
    <w:pPr>
      <w:spacing w:before="240" w:after="60"/>
      <w:jc w:val="center"/>
      <w:outlineLvl w:val="0"/>
    </w:pPr>
    <w:rPr>
      <w:rFonts w:asciiTheme="majorHAnsi" w:hAnsiTheme="majorHAnsi" w:eastAsiaTheme="majorEastAsia" w:cstheme="majorBidi"/>
      <w:b/>
      <w:bCs/>
      <w:sz w:val="32"/>
      <w:szCs w:val="32"/>
    </w:rPr>
  </w:style>
  <w:style w:type="paragraph" w:styleId="85">
    <w:name w:val="annotation subject"/>
    <w:basedOn w:val="28"/>
    <w:next w:val="28"/>
    <w:link w:val="122"/>
    <w:semiHidden/>
    <w:unhideWhenUsed/>
    <w:qFormat/>
    <w:uiPriority w:val="0"/>
    <w:rPr>
      <w:b/>
      <w:bCs/>
    </w:rPr>
  </w:style>
  <w:style w:type="paragraph" w:styleId="86">
    <w:name w:val="Body Text First Indent"/>
    <w:basedOn w:val="34"/>
    <w:link w:val="133"/>
    <w:qFormat/>
    <w:uiPriority w:val="0"/>
    <w:pPr>
      <w:ind w:firstLine="420" w:firstLineChars="100"/>
    </w:pPr>
  </w:style>
  <w:style w:type="paragraph" w:styleId="87">
    <w:name w:val="Body Text First Indent 2"/>
    <w:basedOn w:val="35"/>
    <w:link w:val="135"/>
    <w:qFormat/>
    <w:uiPriority w:val="0"/>
    <w:pPr>
      <w:ind w:firstLine="420" w:firstLineChars="200"/>
    </w:pPr>
  </w:style>
  <w:style w:type="table" w:styleId="89">
    <w:name w:val="Table Grid"/>
    <w:basedOn w:val="88"/>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1">
    <w:name w:val="FollowedHyperlink"/>
    <w:basedOn w:val="90"/>
    <w:qFormat/>
    <w:uiPriority w:val="0"/>
    <w:rPr>
      <w:color w:val="954F72" w:themeColor="followedHyperlink"/>
      <w:u w:val="single"/>
      <w14:textFill>
        <w14:solidFill>
          <w14:schemeClr w14:val="folHlink"/>
        </w14:solidFill>
      </w14:textFill>
    </w:rPr>
  </w:style>
  <w:style w:type="character" w:styleId="92">
    <w:name w:val="Hyperlink"/>
    <w:basedOn w:val="90"/>
    <w:qFormat/>
    <w:uiPriority w:val="99"/>
    <w:rPr>
      <w:color w:val="0563C1" w:themeColor="hyperlink"/>
      <w:u w:val="single"/>
      <w14:textFill>
        <w14:solidFill>
          <w14:schemeClr w14:val="hlink"/>
        </w14:solidFill>
      </w14:textFill>
    </w:rPr>
  </w:style>
  <w:style w:type="paragraph" w:customStyle="1" w:styleId="93">
    <w:name w:val="paragraph"/>
    <w:basedOn w:val="1"/>
    <w:qFormat/>
    <w:uiPriority w:val="0"/>
    <w:pPr>
      <w:widowControl/>
      <w:spacing w:before="100" w:beforeAutospacing="1" w:after="100" w:afterAutospacing="1"/>
      <w:jc w:val="left"/>
    </w:pPr>
    <w:rPr>
      <w:rFonts w:ascii="宋体" w:hAnsi="宋体" w:cs="宋体"/>
      <w:kern w:val="0"/>
      <w:sz w:val="24"/>
      <w:szCs w:val="24"/>
    </w:rPr>
  </w:style>
  <w:style w:type="paragraph" w:styleId="94">
    <w:name w:val="List Paragraph"/>
    <w:basedOn w:val="1"/>
    <w:qFormat/>
    <w:uiPriority w:val="99"/>
    <w:pPr>
      <w:ind w:firstLine="420" w:firstLineChars="200"/>
    </w:pPr>
  </w:style>
  <w:style w:type="paragraph" w:customStyle="1" w:styleId="95">
    <w:name w:val="WPSOffice手动目录 1"/>
    <w:qFormat/>
    <w:uiPriority w:val="0"/>
    <w:rPr>
      <w:rFonts w:ascii="Times New Roman" w:hAnsi="Times New Roman" w:eastAsia="宋体" w:cs="Times New Roman"/>
      <w:lang w:val="en-US" w:eastAsia="zh-CN" w:bidi="ar-SA"/>
    </w:rPr>
  </w:style>
  <w:style w:type="paragraph" w:customStyle="1" w:styleId="96">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97">
    <w:name w:val="标题 1 字符"/>
    <w:basedOn w:val="90"/>
    <w:link w:val="3"/>
    <w:qFormat/>
    <w:uiPriority w:val="0"/>
    <w:rPr>
      <w:rFonts w:asciiTheme="minorHAnsi" w:hAnsiTheme="minorHAnsi" w:cstheme="minorBidi"/>
      <w:b/>
      <w:bCs/>
      <w:kern w:val="44"/>
      <w:sz w:val="44"/>
      <w:szCs w:val="44"/>
    </w:rPr>
  </w:style>
  <w:style w:type="paragraph" w:customStyle="1" w:styleId="98">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99">
    <w:name w:val="HTML 地址 字符"/>
    <w:basedOn w:val="90"/>
    <w:link w:val="41"/>
    <w:qFormat/>
    <w:uiPriority w:val="0"/>
    <w:rPr>
      <w:rFonts w:asciiTheme="minorHAnsi" w:hAnsiTheme="minorHAnsi" w:cstheme="minorBidi"/>
      <w:i/>
      <w:iCs/>
      <w:kern w:val="2"/>
      <w:sz w:val="21"/>
      <w:szCs w:val="21"/>
    </w:rPr>
  </w:style>
  <w:style w:type="character" w:customStyle="1" w:styleId="100">
    <w:name w:val="HTML 预设格式 字符"/>
    <w:basedOn w:val="90"/>
    <w:link w:val="80"/>
    <w:qFormat/>
    <w:uiPriority w:val="0"/>
    <w:rPr>
      <w:rFonts w:ascii="Courier New" w:hAnsi="Courier New" w:cs="Courier New"/>
      <w:kern w:val="2"/>
    </w:rPr>
  </w:style>
  <w:style w:type="paragraph" w:customStyle="1" w:styleId="101">
    <w:name w:val="TOC Heading"/>
    <w:basedOn w:val="3"/>
    <w:next w:val="1"/>
    <w:semiHidden/>
    <w:unhideWhenUsed/>
    <w:qFormat/>
    <w:uiPriority w:val="39"/>
    <w:pPr>
      <w:outlineLvl w:val="9"/>
    </w:pPr>
  </w:style>
  <w:style w:type="character" w:customStyle="1" w:styleId="102">
    <w:name w:val="标题 字符"/>
    <w:basedOn w:val="90"/>
    <w:link w:val="84"/>
    <w:qFormat/>
    <w:uiPriority w:val="0"/>
    <w:rPr>
      <w:rFonts w:asciiTheme="majorHAnsi" w:hAnsiTheme="majorHAnsi" w:eastAsiaTheme="majorEastAsia" w:cstheme="majorBidi"/>
      <w:b/>
      <w:bCs/>
      <w:kern w:val="2"/>
      <w:sz w:val="32"/>
      <w:szCs w:val="32"/>
    </w:rPr>
  </w:style>
  <w:style w:type="character" w:customStyle="1" w:styleId="103">
    <w:name w:val="标题 2 字符"/>
    <w:basedOn w:val="90"/>
    <w:link w:val="4"/>
    <w:semiHidden/>
    <w:qFormat/>
    <w:uiPriority w:val="0"/>
    <w:rPr>
      <w:rFonts w:asciiTheme="majorHAnsi" w:hAnsiTheme="majorHAnsi" w:eastAsiaTheme="majorEastAsia" w:cstheme="majorBidi"/>
      <w:b/>
      <w:bCs/>
      <w:kern w:val="2"/>
      <w:sz w:val="32"/>
      <w:szCs w:val="32"/>
    </w:rPr>
  </w:style>
  <w:style w:type="character" w:customStyle="1" w:styleId="104">
    <w:name w:val="标题 3 字符"/>
    <w:basedOn w:val="90"/>
    <w:link w:val="5"/>
    <w:semiHidden/>
    <w:qFormat/>
    <w:uiPriority w:val="0"/>
    <w:rPr>
      <w:rFonts w:asciiTheme="minorHAnsi" w:hAnsiTheme="minorHAnsi" w:cstheme="minorBidi"/>
      <w:b/>
      <w:bCs/>
      <w:kern w:val="2"/>
      <w:sz w:val="32"/>
      <w:szCs w:val="32"/>
    </w:rPr>
  </w:style>
  <w:style w:type="character" w:customStyle="1" w:styleId="105">
    <w:name w:val="标题 4 字符"/>
    <w:basedOn w:val="90"/>
    <w:link w:val="6"/>
    <w:semiHidden/>
    <w:qFormat/>
    <w:uiPriority w:val="0"/>
    <w:rPr>
      <w:rFonts w:asciiTheme="majorHAnsi" w:hAnsiTheme="majorHAnsi" w:eastAsiaTheme="majorEastAsia" w:cstheme="majorBidi"/>
      <w:b/>
      <w:bCs/>
      <w:kern w:val="2"/>
      <w:sz w:val="28"/>
      <w:szCs w:val="28"/>
    </w:rPr>
  </w:style>
  <w:style w:type="character" w:customStyle="1" w:styleId="106">
    <w:name w:val="标题 5 字符"/>
    <w:basedOn w:val="90"/>
    <w:link w:val="7"/>
    <w:semiHidden/>
    <w:qFormat/>
    <w:uiPriority w:val="0"/>
    <w:rPr>
      <w:rFonts w:asciiTheme="minorHAnsi" w:hAnsiTheme="minorHAnsi" w:cstheme="minorBidi"/>
      <w:b/>
      <w:bCs/>
      <w:kern w:val="2"/>
      <w:sz w:val="28"/>
      <w:szCs w:val="28"/>
    </w:rPr>
  </w:style>
  <w:style w:type="character" w:customStyle="1" w:styleId="107">
    <w:name w:val="标题 6 字符"/>
    <w:basedOn w:val="90"/>
    <w:link w:val="8"/>
    <w:semiHidden/>
    <w:qFormat/>
    <w:uiPriority w:val="0"/>
    <w:rPr>
      <w:rFonts w:asciiTheme="majorHAnsi" w:hAnsiTheme="majorHAnsi" w:eastAsiaTheme="majorEastAsia" w:cstheme="majorBidi"/>
      <w:b/>
      <w:bCs/>
      <w:kern w:val="2"/>
      <w:sz w:val="24"/>
      <w:szCs w:val="24"/>
    </w:rPr>
  </w:style>
  <w:style w:type="character" w:customStyle="1" w:styleId="108">
    <w:name w:val="标题 7 字符"/>
    <w:basedOn w:val="90"/>
    <w:link w:val="9"/>
    <w:semiHidden/>
    <w:qFormat/>
    <w:uiPriority w:val="0"/>
    <w:rPr>
      <w:rFonts w:asciiTheme="minorHAnsi" w:hAnsiTheme="minorHAnsi" w:cstheme="minorBidi"/>
      <w:b/>
      <w:bCs/>
      <w:kern w:val="2"/>
      <w:sz w:val="24"/>
      <w:szCs w:val="24"/>
    </w:rPr>
  </w:style>
  <w:style w:type="character" w:customStyle="1" w:styleId="109">
    <w:name w:val="标题 8 字符"/>
    <w:basedOn w:val="90"/>
    <w:link w:val="10"/>
    <w:semiHidden/>
    <w:qFormat/>
    <w:uiPriority w:val="0"/>
    <w:rPr>
      <w:rFonts w:asciiTheme="majorHAnsi" w:hAnsiTheme="majorHAnsi" w:eastAsiaTheme="majorEastAsia" w:cstheme="majorBidi"/>
      <w:kern w:val="2"/>
      <w:sz w:val="24"/>
      <w:szCs w:val="24"/>
    </w:rPr>
  </w:style>
  <w:style w:type="character" w:customStyle="1" w:styleId="110">
    <w:name w:val="标题 9 字符"/>
    <w:basedOn w:val="90"/>
    <w:link w:val="11"/>
    <w:semiHidden/>
    <w:qFormat/>
    <w:uiPriority w:val="0"/>
    <w:rPr>
      <w:rFonts w:asciiTheme="majorHAnsi" w:hAnsiTheme="majorHAnsi" w:eastAsiaTheme="majorEastAsia" w:cstheme="majorBidi"/>
      <w:kern w:val="2"/>
      <w:sz w:val="21"/>
      <w:szCs w:val="21"/>
    </w:rPr>
  </w:style>
  <w:style w:type="character" w:customStyle="1" w:styleId="111">
    <w:name w:val="称呼 字符"/>
    <w:basedOn w:val="90"/>
    <w:link w:val="30"/>
    <w:qFormat/>
    <w:uiPriority w:val="0"/>
    <w:rPr>
      <w:rFonts w:asciiTheme="minorHAnsi" w:hAnsiTheme="minorHAnsi" w:cstheme="minorBidi"/>
      <w:kern w:val="2"/>
      <w:sz w:val="21"/>
      <w:szCs w:val="21"/>
    </w:rPr>
  </w:style>
  <w:style w:type="character" w:customStyle="1" w:styleId="112">
    <w:name w:val="纯文本 字符"/>
    <w:basedOn w:val="90"/>
    <w:link w:val="45"/>
    <w:qFormat/>
    <w:uiPriority w:val="0"/>
    <w:rPr>
      <w:rFonts w:hAnsi="Courier New" w:cs="Courier New" w:asciiTheme="minorEastAsia" w:eastAsiaTheme="minorEastAsia"/>
      <w:kern w:val="2"/>
      <w:sz w:val="21"/>
      <w:szCs w:val="21"/>
    </w:rPr>
  </w:style>
  <w:style w:type="character" w:customStyle="1" w:styleId="113">
    <w:name w:val="电子邮件签名 字符"/>
    <w:basedOn w:val="90"/>
    <w:link w:val="19"/>
    <w:qFormat/>
    <w:uiPriority w:val="0"/>
    <w:rPr>
      <w:rFonts w:asciiTheme="minorHAnsi" w:hAnsiTheme="minorHAnsi" w:cstheme="minorBidi"/>
      <w:kern w:val="2"/>
      <w:sz w:val="21"/>
      <w:szCs w:val="21"/>
    </w:rPr>
  </w:style>
  <w:style w:type="character" w:customStyle="1" w:styleId="114">
    <w:name w:val="副标题 字符"/>
    <w:basedOn w:val="90"/>
    <w:link w:val="64"/>
    <w:qFormat/>
    <w:uiPriority w:val="0"/>
    <w:rPr>
      <w:rFonts w:asciiTheme="minorHAnsi" w:hAnsiTheme="minorHAnsi" w:eastAsiaTheme="minorEastAsia" w:cstheme="minorBidi"/>
      <w:b/>
      <w:bCs/>
      <w:kern w:val="28"/>
      <w:sz w:val="32"/>
      <w:szCs w:val="32"/>
    </w:rPr>
  </w:style>
  <w:style w:type="character" w:customStyle="1" w:styleId="115">
    <w:name w:val="宏文本 字符"/>
    <w:basedOn w:val="90"/>
    <w:link w:val="2"/>
    <w:qFormat/>
    <w:uiPriority w:val="0"/>
    <w:rPr>
      <w:rFonts w:ascii="Courier New" w:hAnsi="Courier New" w:cs="Courier New"/>
      <w:kern w:val="2"/>
      <w:sz w:val="24"/>
      <w:szCs w:val="24"/>
    </w:rPr>
  </w:style>
  <w:style w:type="character" w:customStyle="1" w:styleId="116">
    <w:name w:val="脚注文本 字符"/>
    <w:basedOn w:val="90"/>
    <w:link w:val="67"/>
    <w:qFormat/>
    <w:uiPriority w:val="0"/>
    <w:rPr>
      <w:rFonts w:asciiTheme="minorHAnsi" w:hAnsiTheme="minorHAnsi" w:cstheme="minorBidi"/>
      <w:kern w:val="2"/>
      <w:sz w:val="18"/>
      <w:szCs w:val="18"/>
    </w:rPr>
  </w:style>
  <w:style w:type="character" w:customStyle="1" w:styleId="117">
    <w:name w:val="结束语 字符"/>
    <w:basedOn w:val="90"/>
    <w:link w:val="32"/>
    <w:qFormat/>
    <w:uiPriority w:val="0"/>
    <w:rPr>
      <w:rFonts w:asciiTheme="minorHAnsi" w:hAnsiTheme="minorHAnsi" w:cstheme="minorBidi"/>
      <w:kern w:val="2"/>
      <w:sz w:val="21"/>
      <w:szCs w:val="21"/>
    </w:rPr>
  </w:style>
  <w:style w:type="paragraph" w:styleId="118">
    <w:name w:val="Intense Quote"/>
    <w:basedOn w:val="1"/>
    <w:next w:val="1"/>
    <w:link w:val="119"/>
    <w:qFormat/>
    <w:uiPriority w:val="99"/>
    <w:pPr>
      <w:pBdr>
        <w:top w:val="single" w:color="5B9BD5" w:themeColor="accent1" w:sz="4" w:space="10"/>
        <w:bottom w:val="single" w:color="5B9BD5" w:themeColor="accent1" w:sz="4" w:space="10"/>
      </w:pBdr>
      <w:spacing w:before="360" w:after="360"/>
      <w:ind w:left="864" w:right="864"/>
      <w:jc w:val="center"/>
    </w:pPr>
    <w:rPr>
      <w:i/>
      <w:iCs/>
      <w:color w:val="5B9BD5" w:themeColor="accent1"/>
      <w14:textFill>
        <w14:solidFill>
          <w14:schemeClr w14:val="accent1"/>
        </w14:solidFill>
      </w14:textFill>
    </w:rPr>
  </w:style>
  <w:style w:type="character" w:customStyle="1" w:styleId="119">
    <w:name w:val="明显引用 字符"/>
    <w:basedOn w:val="90"/>
    <w:link w:val="118"/>
    <w:qFormat/>
    <w:uiPriority w:val="99"/>
    <w:rPr>
      <w:rFonts w:asciiTheme="minorHAnsi" w:hAnsiTheme="minorHAnsi" w:cstheme="minorBidi"/>
      <w:i/>
      <w:iCs/>
      <w:color w:val="5B9BD5" w:themeColor="accent1"/>
      <w:kern w:val="2"/>
      <w:sz w:val="21"/>
      <w:szCs w:val="21"/>
      <w14:textFill>
        <w14:solidFill>
          <w14:schemeClr w14:val="accent1"/>
        </w14:solidFill>
      </w14:textFill>
    </w:rPr>
  </w:style>
  <w:style w:type="character" w:customStyle="1" w:styleId="120">
    <w:name w:val="批注框文本 字符"/>
    <w:basedOn w:val="90"/>
    <w:link w:val="54"/>
    <w:semiHidden/>
    <w:qFormat/>
    <w:uiPriority w:val="0"/>
    <w:rPr>
      <w:rFonts w:asciiTheme="minorHAnsi" w:hAnsiTheme="minorHAnsi" w:cstheme="minorBidi"/>
      <w:kern w:val="2"/>
      <w:sz w:val="18"/>
      <w:szCs w:val="18"/>
    </w:rPr>
  </w:style>
  <w:style w:type="character" w:customStyle="1" w:styleId="121">
    <w:name w:val="批注文字 字符"/>
    <w:basedOn w:val="90"/>
    <w:link w:val="28"/>
    <w:qFormat/>
    <w:uiPriority w:val="0"/>
    <w:rPr>
      <w:rFonts w:asciiTheme="minorHAnsi" w:hAnsiTheme="minorHAnsi" w:cstheme="minorBidi"/>
      <w:kern w:val="2"/>
      <w:sz w:val="21"/>
      <w:szCs w:val="21"/>
    </w:rPr>
  </w:style>
  <w:style w:type="character" w:customStyle="1" w:styleId="122">
    <w:name w:val="批注主题 字符"/>
    <w:basedOn w:val="121"/>
    <w:link w:val="85"/>
    <w:semiHidden/>
    <w:qFormat/>
    <w:uiPriority w:val="0"/>
    <w:rPr>
      <w:rFonts w:asciiTheme="minorHAnsi" w:hAnsiTheme="minorHAnsi" w:cstheme="minorBidi"/>
      <w:b/>
      <w:bCs/>
      <w:kern w:val="2"/>
      <w:sz w:val="21"/>
      <w:szCs w:val="21"/>
    </w:rPr>
  </w:style>
  <w:style w:type="character" w:customStyle="1" w:styleId="123">
    <w:name w:val="签名 字符"/>
    <w:basedOn w:val="90"/>
    <w:link w:val="58"/>
    <w:qFormat/>
    <w:uiPriority w:val="0"/>
    <w:rPr>
      <w:rFonts w:asciiTheme="minorHAnsi" w:hAnsiTheme="minorHAnsi" w:cstheme="minorBidi"/>
      <w:kern w:val="2"/>
      <w:sz w:val="21"/>
      <w:szCs w:val="21"/>
    </w:rPr>
  </w:style>
  <w:style w:type="character" w:customStyle="1" w:styleId="124">
    <w:name w:val="日期 字符"/>
    <w:basedOn w:val="90"/>
    <w:link w:val="50"/>
    <w:qFormat/>
    <w:uiPriority w:val="0"/>
    <w:rPr>
      <w:rFonts w:asciiTheme="minorHAnsi" w:hAnsiTheme="minorHAnsi" w:cstheme="minorBidi"/>
      <w:kern w:val="2"/>
      <w:sz w:val="21"/>
      <w:szCs w:val="21"/>
    </w:rPr>
  </w:style>
  <w:style w:type="paragraph" w:customStyle="1" w:styleId="125">
    <w:name w:val="Bibliography"/>
    <w:basedOn w:val="1"/>
    <w:next w:val="1"/>
    <w:semiHidden/>
    <w:unhideWhenUsed/>
    <w:qFormat/>
    <w:uiPriority w:val="37"/>
  </w:style>
  <w:style w:type="character" w:customStyle="1" w:styleId="126">
    <w:name w:val="尾注文本 字符"/>
    <w:basedOn w:val="90"/>
    <w:link w:val="52"/>
    <w:qFormat/>
    <w:uiPriority w:val="0"/>
    <w:rPr>
      <w:rFonts w:asciiTheme="minorHAnsi" w:hAnsiTheme="minorHAnsi" w:cstheme="minorBidi"/>
      <w:kern w:val="2"/>
      <w:sz w:val="21"/>
      <w:szCs w:val="21"/>
    </w:rPr>
  </w:style>
  <w:style w:type="character" w:customStyle="1" w:styleId="127">
    <w:name w:val="文档结构图 字符"/>
    <w:basedOn w:val="90"/>
    <w:link w:val="26"/>
    <w:qFormat/>
    <w:uiPriority w:val="0"/>
    <w:rPr>
      <w:rFonts w:ascii="Microsoft YaHei UI" w:eastAsia="Microsoft YaHei UI" w:hAnsiTheme="minorHAnsi" w:cstheme="minorBidi"/>
      <w:kern w:val="2"/>
      <w:sz w:val="18"/>
      <w:szCs w:val="18"/>
    </w:rPr>
  </w:style>
  <w:style w:type="paragraph" w:styleId="128">
    <w:name w:val="No Spacing"/>
    <w:qFormat/>
    <w:uiPriority w:val="99"/>
    <w:pPr>
      <w:widowControl w:val="0"/>
      <w:jc w:val="both"/>
    </w:pPr>
    <w:rPr>
      <w:rFonts w:eastAsia="宋体" w:asciiTheme="minorHAnsi" w:hAnsiTheme="minorHAnsi" w:cstheme="minorBidi"/>
      <w:kern w:val="2"/>
      <w:sz w:val="21"/>
      <w:szCs w:val="21"/>
      <w:lang w:val="en-US" w:eastAsia="zh-CN" w:bidi="ar-SA"/>
    </w:rPr>
  </w:style>
  <w:style w:type="character" w:customStyle="1" w:styleId="129">
    <w:name w:val="信息标题 字符"/>
    <w:basedOn w:val="90"/>
    <w:link w:val="79"/>
    <w:qFormat/>
    <w:uiPriority w:val="0"/>
    <w:rPr>
      <w:rFonts w:asciiTheme="majorHAnsi" w:hAnsiTheme="majorHAnsi" w:eastAsiaTheme="majorEastAsia" w:cstheme="majorBidi"/>
      <w:kern w:val="2"/>
      <w:sz w:val="24"/>
      <w:szCs w:val="24"/>
      <w:shd w:val="pct20" w:color="auto" w:fill="auto"/>
    </w:rPr>
  </w:style>
  <w:style w:type="paragraph" w:styleId="130">
    <w:name w:val="Quote"/>
    <w:basedOn w:val="1"/>
    <w:next w:val="1"/>
    <w:link w:val="131"/>
    <w:qFormat/>
    <w:uiPriority w:val="9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131">
    <w:name w:val="引用 字符"/>
    <w:basedOn w:val="90"/>
    <w:link w:val="130"/>
    <w:qFormat/>
    <w:uiPriority w:val="99"/>
    <w:rPr>
      <w:rFonts w:asciiTheme="minorHAnsi" w:hAnsiTheme="minorHAnsi" w:cstheme="minorBidi"/>
      <w:i/>
      <w:iCs/>
      <w:color w:val="404040" w:themeColor="text1" w:themeTint="BF"/>
      <w:kern w:val="2"/>
      <w:sz w:val="21"/>
      <w:szCs w:val="21"/>
      <w14:textFill>
        <w14:solidFill>
          <w14:schemeClr w14:val="tx1">
            <w14:lumMod w14:val="75000"/>
            <w14:lumOff w14:val="25000"/>
          </w14:schemeClr>
        </w14:solidFill>
      </w14:textFill>
    </w:rPr>
  </w:style>
  <w:style w:type="character" w:customStyle="1" w:styleId="132">
    <w:name w:val="正文文本 字符"/>
    <w:basedOn w:val="90"/>
    <w:link w:val="34"/>
    <w:qFormat/>
    <w:uiPriority w:val="0"/>
    <w:rPr>
      <w:rFonts w:asciiTheme="minorHAnsi" w:hAnsiTheme="minorHAnsi" w:cstheme="minorBidi"/>
      <w:kern w:val="2"/>
      <w:sz w:val="21"/>
      <w:szCs w:val="21"/>
    </w:rPr>
  </w:style>
  <w:style w:type="character" w:customStyle="1" w:styleId="133">
    <w:name w:val="正文首行缩进 字符"/>
    <w:basedOn w:val="132"/>
    <w:link w:val="86"/>
    <w:qFormat/>
    <w:uiPriority w:val="0"/>
    <w:rPr>
      <w:rFonts w:asciiTheme="minorHAnsi" w:hAnsiTheme="minorHAnsi" w:cstheme="minorBidi"/>
      <w:kern w:val="2"/>
      <w:sz w:val="21"/>
      <w:szCs w:val="21"/>
    </w:rPr>
  </w:style>
  <w:style w:type="character" w:customStyle="1" w:styleId="134">
    <w:name w:val="正文文本缩进 字符"/>
    <w:basedOn w:val="90"/>
    <w:link w:val="35"/>
    <w:qFormat/>
    <w:uiPriority w:val="0"/>
    <w:rPr>
      <w:rFonts w:asciiTheme="minorHAnsi" w:hAnsiTheme="minorHAnsi" w:cstheme="minorBidi"/>
      <w:kern w:val="2"/>
      <w:sz w:val="21"/>
      <w:szCs w:val="21"/>
    </w:rPr>
  </w:style>
  <w:style w:type="character" w:customStyle="1" w:styleId="135">
    <w:name w:val="正文首行缩进 2 字符"/>
    <w:basedOn w:val="134"/>
    <w:link w:val="87"/>
    <w:qFormat/>
    <w:uiPriority w:val="0"/>
    <w:rPr>
      <w:rFonts w:asciiTheme="minorHAnsi" w:hAnsiTheme="minorHAnsi" w:cstheme="minorBidi"/>
      <w:kern w:val="2"/>
      <w:sz w:val="21"/>
      <w:szCs w:val="21"/>
    </w:rPr>
  </w:style>
  <w:style w:type="character" w:customStyle="1" w:styleId="136">
    <w:name w:val="正文文本 2 字符"/>
    <w:basedOn w:val="90"/>
    <w:link w:val="76"/>
    <w:qFormat/>
    <w:uiPriority w:val="0"/>
    <w:rPr>
      <w:rFonts w:asciiTheme="minorHAnsi" w:hAnsiTheme="minorHAnsi" w:cstheme="minorBidi"/>
      <w:kern w:val="2"/>
      <w:sz w:val="21"/>
      <w:szCs w:val="21"/>
    </w:rPr>
  </w:style>
  <w:style w:type="character" w:customStyle="1" w:styleId="137">
    <w:name w:val="正文文本 3 字符"/>
    <w:basedOn w:val="90"/>
    <w:link w:val="31"/>
    <w:qFormat/>
    <w:uiPriority w:val="0"/>
    <w:rPr>
      <w:rFonts w:asciiTheme="minorHAnsi" w:hAnsiTheme="minorHAnsi" w:cstheme="minorBidi"/>
      <w:kern w:val="2"/>
      <w:sz w:val="16"/>
      <w:szCs w:val="16"/>
    </w:rPr>
  </w:style>
  <w:style w:type="character" w:customStyle="1" w:styleId="138">
    <w:name w:val="正文文本缩进 2 字符"/>
    <w:basedOn w:val="90"/>
    <w:link w:val="51"/>
    <w:qFormat/>
    <w:uiPriority w:val="0"/>
    <w:rPr>
      <w:rFonts w:asciiTheme="minorHAnsi" w:hAnsiTheme="minorHAnsi" w:cstheme="minorBidi"/>
      <w:kern w:val="2"/>
      <w:sz w:val="21"/>
      <w:szCs w:val="21"/>
    </w:rPr>
  </w:style>
  <w:style w:type="character" w:customStyle="1" w:styleId="139">
    <w:name w:val="正文文本缩进 3 字符"/>
    <w:basedOn w:val="90"/>
    <w:link w:val="70"/>
    <w:qFormat/>
    <w:uiPriority w:val="0"/>
    <w:rPr>
      <w:rFonts w:asciiTheme="minorHAnsi" w:hAnsiTheme="minorHAnsi" w:cstheme="minorBidi"/>
      <w:kern w:val="2"/>
      <w:sz w:val="16"/>
      <w:szCs w:val="16"/>
    </w:rPr>
  </w:style>
  <w:style w:type="character" w:customStyle="1" w:styleId="140">
    <w:name w:val="注释标题 字符"/>
    <w:basedOn w:val="90"/>
    <w:link w:val="16"/>
    <w:qFormat/>
    <w:uiPriority w:val="0"/>
    <w:rPr>
      <w:rFonts w:asciiTheme="minorHAnsi" w:hAnsiTheme="minorHAnsi" w:cstheme="minorBidi"/>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BB62F3-7168-4816-BD3F-CA0CD344F37D}">
  <ds:schemaRefs/>
</ds:datastoreItem>
</file>

<file path=docProps/app.xml><?xml version="1.0" encoding="utf-8"?>
<Properties xmlns="http://schemas.openxmlformats.org/officeDocument/2006/extended-properties" xmlns:vt="http://schemas.openxmlformats.org/officeDocument/2006/docPropsVTypes">
  <Template>Normal</Template>
  <Pages>10</Pages>
  <Words>1699</Words>
  <Characters>9686</Characters>
  <Lines>80</Lines>
  <Paragraphs>22</Paragraphs>
  <TotalTime>0</TotalTime>
  <ScaleCrop>false</ScaleCrop>
  <LinksUpToDate>false</LinksUpToDate>
  <CharactersWithSpaces>11363</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2022-11-15T10:06:00Z</dcterms:created>
  <dc:creator>yanjiusuo</dc:creator>
  <cp:lastModifiedBy>yang.jiahong</cp:lastModifiedBy>
  <cp:lastPrinted>2023-06-08T02:23:00Z</cp:lastPrinted>
  <dcterms:modified xsi:type="dcterms:W3CDTF">2024-04-08T02:26:15Z</dcterms:modified>
  <cp:revision>158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88F59B570830480FBD960522A6F97CC7</vt:lpwstr>
  </property>
</Properties>
</file>