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7" w:name="_GoBack"/>
          <w:bookmarkEnd w:id="47"/>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_Toc21822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_Toc5710 </w:instrText>
          </w:r>
          <w:r>
            <w:rPr>
              <w:bCs/>
            </w:rPr>
            <w:fldChar w:fldCharType="separate"/>
          </w:r>
          <w:r>
            <w:rPr>
              <w:rFonts w:hint="eastAsia" w:ascii="Times New Roman" w:hAnsi="Times New Roman" w:eastAsia="楷体"/>
              <w:szCs w:val="24"/>
            </w:rPr>
            <w:t>股指：关注多IF空IM机会</w:t>
          </w:r>
          <w:r>
            <w:rPr>
              <w:bCs/>
            </w:rPr>
            <w:fldChar w:fldCharType="end"/>
          </w:r>
        </w:p>
        <w:p>
          <w:pPr>
            <w:pStyle w:val="59"/>
            <w:tabs>
              <w:tab w:val="right" w:leader="dot" w:pos="8306"/>
            </w:tabs>
          </w:pPr>
          <w:r>
            <w:rPr>
              <w:bCs/>
            </w:rPr>
            <w:fldChar w:fldCharType="begin"/>
          </w:r>
          <w:r>
            <w:rPr>
              <w:bCs/>
            </w:rPr>
            <w:instrText xml:space="preserve"> HYPERLINK \l _Toc22788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_Toc28000 </w:instrText>
          </w:r>
          <w:r>
            <w:rPr>
              <w:bCs/>
            </w:rPr>
            <w:fldChar w:fldCharType="separate"/>
          </w:r>
          <w:r>
            <w:rPr>
              <w:rFonts w:hint="eastAsia" w:ascii="Times New Roman" w:hAnsi="Times New Roman" w:eastAsia="楷体"/>
              <w:szCs w:val="24"/>
            </w:rPr>
            <w:t>贵金属：美元指数下跌，贵金属价格维持上涨</w:t>
          </w:r>
          <w:r>
            <w:rPr>
              <w:bCs/>
            </w:rPr>
            <w:fldChar w:fldCharType="end"/>
          </w:r>
        </w:p>
        <w:p>
          <w:pPr>
            <w:pStyle w:val="59"/>
            <w:tabs>
              <w:tab w:val="right" w:leader="dot" w:pos="8306"/>
            </w:tabs>
          </w:pPr>
          <w:r>
            <w:rPr>
              <w:bCs/>
            </w:rPr>
            <w:fldChar w:fldCharType="begin"/>
          </w:r>
          <w:r>
            <w:rPr>
              <w:bCs/>
            </w:rPr>
            <w:instrText xml:space="preserve"> HYPERLINK \l _Toc4162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_Toc26478 </w:instrText>
          </w:r>
          <w:r>
            <w:rPr>
              <w:bCs/>
            </w:rPr>
            <w:fldChar w:fldCharType="separate"/>
          </w:r>
          <w:r>
            <w:rPr>
              <w:rFonts w:hint="eastAsia" w:ascii="楷体" w:hAnsi="楷体" w:eastAsia="楷体"/>
              <w:szCs w:val="24"/>
            </w:rPr>
            <w:t>碳酸锂：现货价格小幅上涨，期价维持涨势</w:t>
          </w:r>
          <w:r>
            <w:rPr>
              <w:bCs/>
            </w:rPr>
            <w:fldChar w:fldCharType="end"/>
          </w:r>
        </w:p>
        <w:p>
          <w:pPr>
            <w:pStyle w:val="74"/>
            <w:tabs>
              <w:tab w:val="right" w:leader="dot" w:pos="8306"/>
            </w:tabs>
          </w:pPr>
          <w:r>
            <w:rPr>
              <w:bCs/>
            </w:rPr>
            <w:fldChar w:fldCharType="begin"/>
          </w:r>
          <w:r>
            <w:rPr>
              <w:bCs/>
            </w:rPr>
            <w:instrText xml:space="preserve"> HYPERLINK \l _Toc17248 </w:instrText>
          </w:r>
          <w:r>
            <w:rPr>
              <w:bCs/>
            </w:rPr>
            <w:fldChar w:fldCharType="separate"/>
          </w:r>
          <w:r>
            <w:rPr>
              <w:rFonts w:hint="eastAsia" w:ascii="楷体" w:hAnsi="楷体" w:eastAsia="楷体"/>
              <w:szCs w:val="24"/>
            </w:rPr>
            <w:t>铜：短期价格维持高位运行</w:t>
          </w:r>
          <w:r>
            <w:rPr>
              <w:bCs/>
            </w:rPr>
            <w:fldChar w:fldCharType="end"/>
          </w:r>
        </w:p>
        <w:p>
          <w:pPr>
            <w:pStyle w:val="74"/>
            <w:tabs>
              <w:tab w:val="right" w:leader="dot" w:pos="8306"/>
            </w:tabs>
          </w:pPr>
          <w:r>
            <w:rPr>
              <w:bCs/>
            </w:rPr>
            <w:fldChar w:fldCharType="begin"/>
          </w:r>
          <w:r>
            <w:rPr>
              <w:bCs/>
            </w:rPr>
            <w:instrText xml:space="preserve"> HYPERLINK \l _Toc26714 </w:instrText>
          </w:r>
          <w:r>
            <w:rPr>
              <w:bCs/>
            </w:rPr>
            <w:fldChar w:fldCharType="separate"/>
          </w:r>
          <w:r>
            <w:rPr>
              <w:rFonts w:hint="eastAsia" w:ascii="楷体" w:hAnsi="楷体" w:eastAsia="楷体"/>
              <w:szCs w:val="24"/>
            </w:rPr>
            <w:t>铝：铝价保持高位运行</w:t>
          </w:r>
          <w:r>
            <w:rPr>
              <w:bCs/>
            </w:rPr>
            <w:fldChar w:fldCharType="end"/>
          </w:r>
        </w:p>
        <w:p>
          <w:pPr>
            <w:pStyle w:val="74"/>
            <w:tabs>
              <w:tab w:val="right" w:leader="dot" w:pos="8306"/>
            </w:tabs>
          </w:pPr>
          <w:r>
            <w:rPr>
              <w:bCs/>
            </w:rPr>
            <w:fldChar w:fldCharType="begin"/>
          </w:r>
          <w:r>
            <w:rPr>
              <w:bCs/>
            </w:rPr>
            <w:instrText xml:space="preserve"> HYPERLINK \l _Toc30574 </w:instrText>
          </w:r>
          <w:r>
            <w:rPr>
              <w:bCs/>
            </w:rPr>
            <w:fldChar w:fldCharType="separate"/>
          </w:r>
          <w:r>
            <w:rPr>
              <w:rFonts w:hint="eastAsia" w:ascii="楷体" w:hAnsi="楷体" w:eastAsia="楷体"/>
              <w:szCs w:val="24"/>
            </w:rPr>
            <w:t>锌：锌价修复走势偏强</w:t>
          </w:r>
          <w:r>
            <w:rPr>
              <w:bCs/>
            </w:rPr>
            <w:fldChar w:fldCharType="end"/>
          </w:r>
        </w:p>
        <w:p>
          <w:pPr>
            <w:pStyle w:val="74"/>
            <w:tabs>
              <w:tab w:val="right" w:leader="dot" w:pos="8306"/>
            </w:tabs>
          </w:pPr>
          <w:r>
            <w:rPr>
              <w:bCs/>
            </w:rPr>
            <w:fldChar w:fldCharType="begin"/>
          </w:r>
          <w:r>
            <w:rPr>
              <w:bCs/>
            </w:rPr>
            <w:instrText xml:space="preserve"> HYPERLINK \l _Toc5851 </w:instrText>
          </w:r>
          <w:r>
            <w:rPr>
              <w:bCs/>
            </w:rPr>
            <w:fldChar w:fldCharType="separate"/>
          </w:r>
          <w:r>
            <w:rPr>
              <w:rFonts w:hint="eastAsia" w:ascii="楷体" w:hAnsi="楷体" w:eastAsia="楷体"/>
              <w:szCs w:val="24"/>
            </w:rPr>
            <w:t>镍：短期镍价反弹驱动有限</w:t>
          </w:r>
          <w:r>
            <w:rPr>
              <w:bCs/>
            </w:rPr>
            <w:fldChar w:fldCharType="end"/>
          </w:r>
        </w:p>
        <w:p>
          <w:pPr>
            <w:pStyle w:val="74"/>
            <w:tabs>
              <w:tab w:val="right" w:leader="dot" w:pos="8306"/>
            </w:tabs>
          </w:pPr>
          <w:r>
            <w:rPr>
              <w:bCs/>
            </w:rPr>
            <w:fldChar w:fldCharType="begin"/>
          </w:r>
          <w:r>
            <w:rPr>
              <w:bCs/>
            </w:rPr>
            <w:instrText xml:space="preserve"> HYPERLINK \l _Toc16005 </w:instrText>
          </w:r>
          <w:r>
            <w:rPr>
              <w:bCs/>
            </w:rPr>
            <w:fldChar w:fldCharType="separate"/>
          </w:r>
          <w:r>
            <w:rPr>
              <w:rFonts w:hint="eastAsia" w:ascii="楷体" w:hAnsi="楷体" w:eastAsia="楷体"/>
              <w:szCs w:val="24"/>
            </w:rPr>
            <w:t>不锈钢：成本托起支撑，但基本面压力凸显</w:t>
          </w:r>
          <w:r>
            <w:rPr>
              <w:bCs/>
            </w:rPr>
            <w:fldChar w:fldCharType="end"/>
          </w:r>
        </w:p>
        <w:p>
          <w:pPr>
            <w:pStyle w:val="74"/>
            <w:tabs>
              <w:tab w:val="right" w:leader="dot" w:pos="8306"/>
            </w:tabs>
          </w:pPr>
          <w:r>
            <w:rPr>
              <w:bCs/>
            </w:rPr>
            <w:fldChar w:fldCharType="begin"/>
          </w:r>
          <w:r>
            <w:rPr>
              <w:bCs/>
            </w:rPr>
            <w:instrText xml:space="preserve"> HYPERLINK \l _Toc12773 </w:instrText>
          </w:r>
          <w:r>
            <w:rPr>
              <w:bCs/>
            </w:rPr>
            <w:fldChar w:fldCharType="separate"/>
          </w:r>
          <w:r>
            <w:rPr>
              <w:rFonts w:hint="eastAsia" w:ascii="楷体" w:hAnsi="楷体" w:eastAsia="楷体"/>
              <w:szCs w:val="24"/>
            </w:rPr>
            <w:t>工业硅：需求暂无改善迹象，盘面反弹对待</w:t>
          </w:r>
          <w:r>
            <w:rPr>
              <w:bCs/>
            </w:rPr>
            <w:fldChar w:fldCharType="end"/>
          </w:r>
        </w:p>
        <w:p>
          <w:pPr>
            <w:pStyle w:val="59"/>
            <w:tabs>
              <w:tab w:val="right" w:leader="dot" w:pos="8306"/>
            </w:tabs>
          </w:pPr>
          <w:r>
            <w:rPr>
              <w:bCs/>
            </w:rPr>
            <w:fldChar w:fldCharType="begin"/>
          </w:r>
          <w:r>
            <w:rPr>
              <w:bCs/>
            </w:rPr>
            <w:instrText xml:space="preserve"> HYPERLINK \l _Toc25632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_Toc1547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基本面大稳小动，橡胶在大跌后短线或企稳反弹</w:t>
          </w:r>
          <w:r>
            <w:rPr>
              <w:bCs/>
            </w:rPr>
            <w:fldChar w:fldCharType="end"/>
          </w:r>
        </w:p>
        <w:p>
          <w:pPr>
            <w:pStyle w:val="74"/>
            <w:tabs>
              <w:tab w:val="right" w:leader="dot" w:pos="8306"/>
            </w:tabs>
          </w:pPr>
          <w:r>
            <w:rPr>
              <w:bCs/>
            </w:rPr>
            <w:fldChar w:fldCharType="begin"/>
          </w:r>
          <w:r>
            <w:rPr>
              <w:bCs/>
            </w:rPr>
            <w:instrText xml:space="preserve"> HYPERLINK \l _Toc7522 </w:instrText>
          </w:r>
          <w:r>
            <w:rPr>
              <w:bCs/>
            </w:rPr>
            <w:fldChar w:fldCharType="separate"/>
          </w:r>
          <w:r>
            <w:rPr>
              <w:rFonts w:hint="eastAsia" w:ascii="楷体" w:hAnsi="楷体" w:eastAsia="楷体"/>
              <w:szCs w:val="24"/>
            </w:rPr>
            <w:t>聚烯烃：市场多空因素交织，PE整体强于PP</w:t>
          </w:r>
          <w:r>
            <w:rPr>
              <w:bCs/>
            </w:rPr>
            <w:fldChar w:fldCharType="end"/>
          </w:r>
        </w:p>
        <w:p>
          <w:pPr>
            <w:pStyle w:val="74"/>
            <w:tabs>
              <w:tab w:val="right" w:leader="dot" w:pos="8306"/>
            </w:tabs>
          </w:pPr>
          <w:r>
            <w:rPr>
              <w:bCs/>
            </w:rPr>
            <w:fldChar w:fldCharType="begin"/>
          </w:r>
          <w:r>
            <w:rPr>
              <w:bCs/>
            </w:rPr>
            <w:instrText xml:space="preserve"> HYPERLINK \l _Toc11075 </w:instrText>
          </w:r>
          <w:r>
            <w:rPr>
              <w:bCs/>
            </w:rPr>
            <w:fldChar w:fldCharType="separate"/>
          </w:r>
          <w:r>
            <w:rPr>
              <w:rFonts w:hint="eastAsia" w:ascii="楷体" w:hAnsi="楷体" w:eastAsia="楷体"/>
              <w:szCs w:val="24"/>
            </w:rPr>
            <w:t>玻璃：基本面偏弱，盘面节前减仓反弹</w:t>
          </w:r>
          <w:r>
            <w:rPr>
              <w:bCs/>
            </w:rPr>
            <w:fldChar w:fldCharType="end"/>
          </w:r>
        </w:p>
        <w:p>
          <w:pPr>
            <w:pStyle w:val="74"/>
            <w:tabs>
              <w:tab w:val="right" w:leader="dot" w:pos="8306"/>
            </w:tabs>
          </w:pPr>
          <w:r>
            <w:rPr>
              <w:bCs/>
            </w:rPr>
            <w:fldChar w:fldCharType="begin"/>
          </w:r>
          <w:r>
            <w:rPr>
              <w:bCs/>
            </w:rPr>
            <w:instrText xml:space="preserve"> HYPERLINK \l _Toc25697 </w:instrText>
          </w:r>
          <w:r>
            <w:rPr>
              <w:bCs/>
            </w:rPr>
            <w:fldChar w:fldCharType="separate"/>
          </w:r>
          <w:r>
            <w:rPr>
              <w:rFonts w:hint="eastAsia" w:ascii="楷体" w:hAnsi="楷体" w:eastAsia="楷体"/>
              <w:szCs w:val="24"/>
            </w:rPr>
            <w:t>纯碱：下游光伏点火叠加远兴检修传闻，期价震荡反弹</w:t>
          </w:r>
          <w:r>
            <w:rPr>
              <w:bCs/>
            </w:rPr>
            <w:fldChar w:fldCharType="end"/>
          </w:r>
        </w:p>
        <w:p>
          <w:pPr>
            <w:pStyle w:val="74"/>
            <w:tabs>
              <w:tab w:val="right" w:leader="dot" w:pos="8306"/>
            </w:tabs>
          </w:pPr>
          <w:r>
            <w:rPr>
              <w:bCs/>
            </w:rPr>
            <w:fldChar w:fldCharType="begin"/>
          </w:r>
          <w:r>
            <w:rPr>
              <w:bCs/>
            </w:rPr>
            <w:instrText xml:space="preserve"> HYPERLINK \l _Toc13682 </w:instrText>
          </w:r>
          <w:r>
            <w:rPr>
              <w:bCs/>
            </w:rPr>
            <w:fldChar w:fldCharType="separate"/>
          </w:r>
          <w:r>
            <w:rPr>
              <w:rFonts w:hint="eastAsia" w:ascii="Times New Roman" w:hAnsi="Times New Roman" w:eastAsia="楷体"/>
              <w:szCs w:val="24"/>
            </w:rPr>
            <w:t>PTA：盘面走势震荡偏强</w:t>
          </w:r>
          <w:r>
            <w:rPr>
              <w:bCs/>
            </w:rPr>
            <w:fldChar w:fldCharType="end"/>
          </w:r>
        </w:p>
        <w:p>
          <w:pPr>
            <w:pStyle w:val="74"/>
            <w:tabs>
              <w:tab w:val="right" w:leader="dot" w:pos="8306"/>
            </w:tabs>
          </w:pPr>
          <w:r>
            <w:rPr>
              <w:bCs/>
            </w:rPr>
            <w:fldChar w:fldCharType="begin"/>
          </w:r>
          <w:r>
            <w:rPr>
              <w:bCs/>
            </w:rPr>
            <w:instrText xml:space="preserve"> HYPERLINK \l _Toc7917 </w:instrText>
          </w:r>
          <w:r>
            <w:rPr>
              <w:bCs/>
            </w:rPr>
            <w:fldChar w:fldCharType="separate"/>
          </w:r>
          <w:r>
            <w:rPr>
              <w:rFonts w:hint="eastAsia" w:ascii="Times New Roman" w:hAnsi="Times New Roman" w:eastAsia="楷体"/>
              <w:szCs w:val="24"/>
            </w:rPr>
            <w:t>乙二醇：到港增多预期  短期价格震荡</w:t>
          </w:r>
          <w:r>
            <w:rPr>
              <w:bCs/>
            </w:rPr>
            <w:fldChar w:fldCharType="end"/>
          </w:r>
        </w:p>
        <w:p>
          <w:pPr>
            <w:pStyle w:val="59"/>
            <w:tabs>
              <w:tab w:val="right" w:leader="dot" w:pos="8306"/>
            </w:tabs>
          </w:pPr>
          <w:r>
            <w:rPr>
              <w:bCs/>
            </w:rPr>
            <w:fldChar w:fldCharType="begin"/>
          </w:r>
          <w:r>
            <w:rPr>
              <w:bCs/>
            </w:rPr>
            <w:instrText xml:space="preserve"> HYPERLINK \l _Toc5799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_Toc29803 </w:instrText>
          </w:r>
          <w:r>
            <w:rPr>
              <w:bCs/>
            </w:rPr>
            <w:fldChar w:fldCharType="separate"/>
          </w:r>
          <w:r>
            <w:rPr>
              <w:rFonts w:hint="eastAsia" w:ascii="楷体" w:hAnsi="楷体" w:eastAsia="楷体"/>
              <w:bCs/>
            </w:rPr>
            <w:t>玉米与淀粉：</w:t>
          </w:r>
          <w:r>
            <w:rPr>
              <w:rFonts w:hint="eastAsia" w:ascii="楷体" w:hAnsi="楷体" w:eastAsia="楷体"/>
            </w:rPr>
            <w:t>期价继续震荡上行</w:t>
          </w:r>
          <w:r>
            <w:rPr>
              <w:bCs/>
            </w:rPr>
            <w:fldChar w:fldCharType="end"/>
          </w:r>
        </w:p>
        <w:p>
          <w:pPr>
            <w:pStyle w:val="74"/>
            <w:tabs>
              <w:tab w:val="right" w:leader="dot" w:pos="8306"/>
            </w:tabs>
          </w:pPr>
          <w:r>
            <w:rPr>
              <w:bCs/>
            </w:rPr>
            <w:fldChar w:fldCharType="begin"/>
          </w:r>
          <w:r>
            <w:rPr>
              <w:bCs/>
            </w:rPr>
            <w:instrText xml:space="preserve"> HYPERLINK \l _Toc10230 </w:instrText>
          </w:r>
          <w:r>
            <w:rPr>
              <w:bCs/>
            </w:rPr>
            <w:fldChar w:fldCharType="separate"/>
          </w:r>
          <w:r>
            <w:rPr>
              <w:rFonts w:hint="eastAsia" w:ascii="楷体" w:hAnsi="楷体" w:eastAsia="楷体"/>
              <w:bCs/>
            </w:rPr>
            <w:t>畜禽养殖：现货带动期价延续弱势</w:t>
          </w:r>
          <w:r>
            <w:rPr>
              <w:bCs/>
            </w:rPr>
            <w:fldChar w:fldCharType="end"/>
          </w:r>
        </w:p>
        <w:p>
          <w:pPr>
            <w:pStyle w:val="74"/>
            <w:tabs>
              <w:tab w:val="right" w:leader="dot" w:pos="8306"/>
            </w:tabs>
          </w:pPr>
          <w:r>
            <w:rPr>
              <w:bCs/>
            </w:rPr>
            <w:fldChar w:fldCharType="begin"/>
          </w:r>
          <w:r>
            <w:rPr>
              <w:bCs/>
            </w:rPr>
            <w:instrText xml:space="preserve"> HYPERLINK \l _Toc5058 </w:instrText>
          </w:r>
          <w:r>
            <w:rPr>
              <w:bCs/>
            </w:rPr>
            <w:fldChar w:fldCharType="separate"/>
          </w:r>
          <w:r>
            <w:rPr>
              <w:rFonts w:hint="eastAsia" w:ascii="楷体" w:hAnsi="楷体" w:eastAsia="楷体"/>
              <w:bCs/>
            </w:rPr>
            <w:t>白糖：涨跌反复，持续观望</w:t>
          </w:r>
          <w:r>
            <w:rPr>
              <w:bCs/>
            </w:rPr>
            <w:fldChar w:fldCharType="end"/>
          </w:r>
        </w:p>
        <w:p>
          <w:pPr>
            <w:pStyle w:val="59"/>
            <w:tabs>
              <w:tab w:val="right" w:leader="dot" w:pos="8306"/>
            </w:tabs>
          </w:pPr>
          <w:r>
            <w:rPr>
              <w:bCs/>
            </w:rPr>
            <w:fldChar w:fldCharType="begin"/>
          </w:r>
          <w:r>
            <w:rPr>
              <w:bCs/>
            </w:rPr>
            <w:instrText xml:space="preserve"> HYPERLINK \l _Toc13895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_Toc29033 </w:instrText>
          </w:r>
          <w:r>
            <w:rPr>
              <w:bCs/>
            </w:rPr>
            <w:fldChar w:fldCharType="separate"/>
          </w:r>
          <w:r>
            <w:rPr>
              <w:rFonts w:hint="eastAsia" w:ascii="Times New Roman" w:hAnsi="Times New Roman" w:eastAsia="楷体"/>
              <w:szCs w:val="24"/>
            </w:rPr>
            <w:t>集运指数（欧线）：船司提价但货运量温和，EC整体偏强震荡</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21822"/>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5710"/>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关注多IF空IM机会</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美国10年期国债收益率一度攀升至4.405%，创今年以来最高水平。市场对美联储全年降息的预期降低，或对短线市场风险偏好有所扰动。A股迅速计价三月PMI超预期表现后，后续经济金融数据能否持续超预期是关键。即将到来的财报季可能会导致短线市场风格的一定变化，关注多IF空IM机会。</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2788"/>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28000"/>
      <w:r>
        <w:rPr>
          <w:rFonts w:hint="eastAsia" w:ascii="Times New Roman" w:hAnsi="Times New Roman" w:eastAsia="楷体"/>
          <w:b/>
          <w:color w:val="000000" w:themeColor="text1"/>
          <w:sz w:val="24"/>
          <w:szCs w:val="24"/>
          <w14:textFill>
            <w14:solidFill>
              <w14:schemeClr w14:val="tx1"/>
            </w14:solidFill>
          </w14:textFill>
        </w:rPr>
        <w:t>贵金属：美元指数下跌，贵金属价格维持上涨</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美元指数跌0.18%至104.77，沪金涨1.29%至538.44元/克，沪银收涨2.58%至6641元/千克。美联储梅斯特称，不对会议做出预判，不排除6月降息可能性；预计今年会降息三次；政治环境不会影响美联储的决策；数据将决定美联储的货币政策。美联储戴利表示，三月FOMC作出的决策是非常好的决策；眼下保持政策不变是正确的决策；不急于调整利率，需要考虑将利率保持在目前水平的时间多长；今年降息3次是合理的基准情景。美国3月ISM制造业PMI上升2.5至50.3，好于预期。美联储鲍威尔主席提示无需急于降息，但海外市场仍预计其6月大概率启动降息，避险情绪、央行持续购金、美联储降息预期升温等对贵金属价格形成支撑，震荡中枢或逐步上移。</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金属"/>
      <w:bookmarkStart w:id="12" w:name="_Toc3096"/>
      <w:bookmarkStart w:id="13" w:name="_Toc4162"/>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26478"/>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碳酸锂：现货价格小幅上涨，期价维持涨势</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小幅上涨，期价高开后窄幅震荡，07合约收涨1.14%至111000元/吨。中矿资源公告，截至2023年底，Bikita矿山西区与东区保有锂矿产资源量11335.17万吨矿石量，折合288.47万吨LCE，较2022年报告时增加4793.24万吨矿石量，折合增加104.69万吨LCE。据SMM消息，雅保在今日进行了约100吨电池级碳酸锂的招标，最终结果为111,800元/吨，后续或于4月17日再次进行招标。当前市场对于下游和终端需求好转的预期升温，4月锂电整体排产大约增加10%，磷酸铁锂、三元材料的订单均有所增加，新能源车3月零售同比增长。留意江西环保督察后续影响，供需双增背景下，锂价或维持区间震荡。</w:t>
      </w:r>
    </w:p>
    <w:bookmarkEnd w:id="16"/>
    <w:bookmarkEnd w:id="17"/>
    <w:p>
      <w:pPr>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25617"/>
      <w:bookmarkStart w:id="19" w:name="_Toc9719"/>
      <w:bookmarkStart w:id="20" w:name="_Toc17248"/>
      <w:r>
        <w:rPr>
          <w:rFonts w:hint="eastAsia" w:ascii="楷体" w:hAnsi="楷体" w:eastAsia="楷体"/>
          <w:b/>
          <w:color w:val="000000" w:themeColor="text1"/>
          <w:sz w:val="24"/>
          <w:szCs w:val="24"/>
          <w14:textFill>
            <w14:solidFill>
              <w14:schemeClr w14:val="tx1"/>
            </w14:solidFill>
          </w14:textFill>
        </w:rPr>
        <w:t>铜：</w:t>
      </w:r>
      <w:bookmarkEnd w:id="18"/>
      <w:bookmarkEnd w:id="19"/>
      <w:r>
        <w:rPr>
          <w:rFonts w:hint="eastAsia" w:ascii="楷体" w:hAnsi="楷体" w:eastAsia="楷体"/>
          <w:b/>
          <w:color w:val="000000" w:themeColor="text1"/>
          <w:sz w:val="24"/>
          <w:szCs w:val="24"/>
          <w14:textFill>
            <w14:solidFill>
              <w14:schemeClr w14:val="tx1"/>
            </w14:solidFill>
          </w14:textFill>
        </w:rPr>
        <w:t>短期价格维持高位运行</w:t>
      </w:r>
      <w:bookmarkEnd w:id="2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(1)库存：4月2日，SHFE仓单库存224667吨，增1499吨；LME仓单库存111925吨，减550吨。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(2)精废价差：4月2日，Mysteel精废价差2293，收窄96。目前价差在合理价差1427之上。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当前黄金和原油价格的持续上涨带动市场做多情绪，叠加铜矿端偏紧预期仍在发酵，TC继续走跌至历史极低位，4月冶炼厂进入集中检修阶段，消费或边际好转，库存有望去化，短期价格维持高位运行，主波动区间参考72000-74000。</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8897"/>
      <w:bookmarkStart w:id="22" w:name="_Toc6247"/>
      <w:bookmarkStart w:id="23" w:name="_Toc26714"/>
      <w:r>
        <w:rPr>
          <w:rFonts w:hint="eastAsia" w:ascii="楷体" w:hAnsi="楷体" w:eastAsia="楷体"/>
          <w:b/>
          <w:color w:val="000000" w:themeColor="text1"/>
          <w:sz w:val="24"/>
          <w:szCs w:val="24"/>
          <w14:textFill>
            <w14:solidFill>
              <w14:schemeClr w14:val="tx1"/>
            </w14:solidFill>
          </w14:textFill>
        </w:rPr>
        <w:t>铝：</w:t>
      </w:r>
      <w:bookmarkEnd w:id="21"/>
      <w:bookmarkEnd w:id="22"/>
      <w:r>
        <w:rPr>
          <w:rFonts w:hint="eastAsia" w:ascii="楷体" w:hAnsi="楷体" w:eastAsia="楷体"/>
          <w:b/>
          <w:color w:val="000000" w:themeColor="text1"/>
          <w:sz w:val="24"/>
          <w:szCs w:val="24"/>
          <w14:textFill>
            <w14:solidFill>
              <w14:schemeClr w14:val="tx1"/>
            </w14:solidFill>
          </w14:textFill>
        </w:rPr>
        <w:t>铝价保持高位运行</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联储3月议息决议维持利率不变，欧美经济数据表现强韧，预期降息窗口出现在下半年，国内继续发布政策刺激消费，持续释放积极信号。据消息，云南电解铝产能恢复85%，供应端仍有复产增量预期，电解铝利润伴随铝价上升而持续走增，冶炼端开产积极性保持，下游需求进入金三银四旺季，部分产业反映市场畏 高铝价下游订单减少，目前在需求证伪真空期，铝棒库存持续去库，国内社库拐入去库，释放积极利多信号。宏观情绪偏多为主，供应端变化有限维持高产，需求旺季之下有改善预期，社库去库，价格测试19700-20000，预计短期内保持价格高位运行。</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4" w:name="_Toc30574"/>
      <w:r>
        <w:rPr>
          <w:rFonts w:hint="eastAsia" w:ascii="楷体" w:hAnsi="楷体" w:eastAsia="楷体"/>
          <w:b/>
          <w:color w:val="000000" w:themeColor="text1"/>
          <w:sz w:val="24"/>
          <w:szCs w:val="24"/>
          <w14:textFill>
            <w14:solidFill>
              <w14:schemeClr w14:val="tx1"/>
            </w14:solidFill>
          </w14:textFill>
        </w:rPr>
        <w:t>锌：锌价修复走势偏强</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联储降息预期拖延，美国经济表现强劲，国内持续出台政策刺激消费。原料端受限带来供应收缩预期，精矿加工费负反馈生产亏损降低冶炼端生产意愿，海外锌企有减停产消息，镀锌开工环比上行，但需求有回升不及预期，整体库存水平绝对位置较低，价格在20300-21500区间震荡，锌价出现反弹修复，短期内价格偏强运行。</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5851"/>
      <w:r>
        <w:rPr>
          <w:rFonts w:hint="eastAsia" w:ascii="楷体" w:hAnsi="楷体" w:eastAsia="楷体"/>
          <w:b/>
          <w:color w:val="000000" w:themeColor="text1"/>
          <w:sz w:val="24"/>
          <w:szCs w:val="24"/>
          <w14:textFill>
            <w14:solidFill>
              <w14:schemeClr w14:val="tx1"/>
            </w14:solidFill>
          </w14:textFill>
        </w:rPr>
        <w:t>镍：短期镍价反弹驱动有限</w:t>
      </w:r>
      <w:bookmarkEnd w:id="2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近日镍价止跌反弹的原因主要在于：一是我国3月PMI重回扩张区间，反映经济稳中向好发展，提振市场情绪；二是短期内MHP和硫酸镍维持供需偏紧格局，价格较为坚挺，为镍价带来成本支撑；三是3月新能源汽车产销数据有明显改善，或对镍价有一定拉动作用。然而，需求方面，三元材料厂家提高产量主要在于需求乐观预期下的前置性备货，实际对镍的需求改善程度或有限；不锈钢市场的需求表现仍然不佳，4月或有减产可能。供应方面，精炼镍产能继续释放，镍市仍处于供应显著过剩格局之中。综合而言，镍价上方空间持续受到供应过剩格局施压，而在成本支撑和宏观情绪提振之下，短期镍价下跌动能也不充分，预计震荡为主，建议暂时观望。</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16005"/>
      <w:r>
        <w:rPr>
          <w:rFonts w:hint="eastAsia" w:ascii="楷体" w:hAnsi="楷体" w:eastAsia="楷体"/>
          <w:b/>
          <w:color w:val="000000" w:themeColor="text1"/>
          <w:sz w:val="24"/>
          <w:szCs w:val="24"/>
          <w14:textFill>
            <w14:solidFill>
              <w14:schemeClr w14:val="tx1"/>
            </w14:solidFill>
          </w14:textFill>
        </w:rPr>
        <w:t>不锈钢：成本托起支撑，但基本面压力凸显</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我国3月PMI重回扩张区间，反映经济稳中向好发展，提振市场情绪。镍矿端，印尼镍矿供应担忧逻辑对盘面的影响消退，镍矿供应逐步恢复，镍矿价格承压。镍铁端，由于镍矿资源偏紧问题逐步缓解，印尼镍铁回流压力也将增加，且下游需求较弱，近期镍铁成交价格已降至920元/镍（到厂含税）。铬铁端，铬矿价格上行抬升铬铁成本，而铬铁供应具有明显增量对价格带来压制，预计短期铬铁价格持稳为主。需求端，下游节前补库力度较有限，市场整体需求仍然偏弱，对不锈钢价格带来制约。供应端，目前不锈钢处于高供应、高库存的状态，仓单库存持续刷新历史高位。综合而言，需求不佳及库存高位对价格带来压制，不锈钢价格缺乏向上驱动，但当前不锈钢产业的利润已微薄，在成本支撑及宏观利好情绪影响下，盘面继续下跌的空间也有限，关注后续钢厂是否减产及需求恢复情况。</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12773"/>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需求暂无改善迹象，盘面反弹对待</w:t>
      </w:r>
      <w:bookmarkEnd w:id="27"/>
    </w:p>
    <w:p>
      <w:pPr>
        <w:ind w:left="630" w:leftChars="300"/>
        <w:rPr>
          <w:rFonts w:ascii="楷体" w:hAnsi="楷体" w:eastAsia="楷体"/>
          <w:sz w:val="24"/>
          <w:szCs w:val="24"/>
        </w:rPr>
      </w:pPr>
      <w:r>
        <w:rPr>
          <w:rFonts w:hint="eastAsia" w:ascii="楷体" w:hAnsi="楷体" w:eastAsia="楷体"/>
          <w:sz w:val="24"/>
          <w:szCs w:val="24"/>
        </w:rPr>
        <w:t>4月2日，Si2405主力合约呈反弹走势，收盘价12050元/吨，较上一收盘价涨跌幅+1.09%。近期受宏观情绪有所好转，工业品普遍出现上涨，以及盘面价格已跌至西南丰水期预估成本线附近，使得盘面出现阶段性反弹。从基本面来看，一方面，当前部分N型硅料跌至6万元/吨，周环比下降达到10%，库存也已突破15万吨大关；另一方面，有机硅市场延续弱势，其下游采购积极性不高，多持观望态度，上周大厂DMC报价下调，周环比下降7.9%，当前开工率已低于80%，后续部分单体厂装置或仍有检修计划，整体对工业硅需求预期下降。因此，在工业硅行业库存整体偏高，尤其仓单压力暂未得到缓解情况下，叠加需求边际转弱预期，对盘面大幅反弹存在压制作用。策略上，建议节前暂时观望，前期空单可逐步止盈。</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8" w:name="化工"/>
      <w:r>
        <w:rPr>
          <w:rFonts w:hint="eastAsia" w:ascii="Times New Roman" w:hAnsi="Times New Roman" w:eastAsia="楷体"/>
          <w:b/>
          <w:color w:val="823C0B"/>
          <w:sz w:val="30"/>
          <w:szCs w:val="30"/>
        </w:rPr>
        <w:t xml:space="preserve"> </w:t>
      </w:r>
      <w:bookmarkStart w:id="29" w:name="_Toc25632"/>
      <w:r>
        <w:rPr>
          <w:rFonts w:hint="eastAsia" w:ascii="Times New Roman" w:hAnsi="Times New Roman" w:eastAsia="楷体"/>
          <w:b/>
          <w:color w:val="823C0B"/>
          <w:sz w:val="30"/>
          <w:szCs w:val="30"/>
        </w:rPr>
        <w:t>[化工]</w:t>
      </w:r>
      <w:bookmarkEnd w:id="28"/>
      <w:bookmarkEnd w:id="29"/>
    </w:p>
    <w:p>
      <w:pPr>
        <w:ind w:firstLine="482" w:firstLineChars="200"/>
        <w:outlineLvl w:val="1"/>
        <w:rPr>
          <w:rFonts w:ascii="楷体" w:hAnsi="楷体" w:eastAsia="楷体"/>
          <w:b/>
          <w:sz w:val="24"/>
          <w:szCs w:val="24"/>
        </w:rPr>
      </w:pPr>
      <w:bookmarkStart w:id="30" w:name="_Toc1547"/>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基本面大稳小动，橡胶在大跌后短线或企稳反弹</w:t>
      </w:r>
      <w:bookmarkEnd w:id="30"/>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目前看，全球天胶产区进入供应淡季，海外低库存促使原料价格坚挺向上，成本端对天胶市场依旧有底部支撑。港口库存方面，目前仍处于历史高位，侧面反映此前关于收储、供应收缩的利好炒作并未促成有效去库，国内天胶供过于求格局未出现根本性改变。下游轮胎厂在天胶价格屡创新高后也没有出现投机性购入原料的情况，证实橡胶的供应十分充足。需求端来看，下游轮胎企业开工率高位维持，半钢胎在海外出口需求旺盛下，开工率创下新高，对原料补库积极性提高，提振天胶消费。全钢胎方面，因整体需求偏弱，各企业成品库存表现不一，后期不排除个别企业会出现生产降速的可能性。终端汽车方面，3-4月车企优惠政策延续。根据工信部最新公布的新车上市名录里面可以看到，多家车企的新车型与换代车型将于近期发售，亦将刺激未来汽车销售增长预期。整体看，受东南亚现货报价近日走低以及短线涨幅较大技术面上有修正需求等因素影响，沪胶近期大幅下挫。但盘面从日线级别看已经形成底分型结构，同时15、60分钟级别也有底背离情况出现，做多信号出现。同时在基本面无进一步恶化的情况下，建议把握逢低做多的机会。</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7522"/>
      <w:r>
        <w:rPr>
          <w:rFonts w:hint="eastAsia" w:ascii="楷体" w:hAnsi="楷体" w:eastAsia="楷体"/>
          <w:b/>
          <w:color w:val="000000" w:themeColor="text1"/>
          <w:sz w:val="24"/>
          <w:szCs w:val="24"/>
          <w14:textFill>
            <w14:solidFill>
              <w14:schemeClr w14:val="tx1"/>
            </w14:solidFill>
          </w14:textFill>
        </w:rPr>
        <w:t>聚烯烃：市场多空因素交织，PE整体强于PP</w:t>
      </w:r>
      <w:bookmarkEnd w:id="31"/>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聚烯烃近端转弱远端转强，近端转弱一方面在于检修的阶段性回归，另一方面在于印尼配额政策取消和东南亚斋月导致的海外市场需求下滑和国内出口回落。远端偏强在于未来检修不断增多，后续库存将会去化，具体幅度还是要看需求。聚烯烃整体市场需求并不是很好，订单持平偏弱，利润同比更弱，成品库存较高的情况下难以看到大规模的补库，建议PP短期空单减仓，PE中期参与多单。</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2" w:name="_Toc11075"/>
      <w:r>
        <w:rPr>
          <w:rFonts w:hint="eastAsia" w:ascii="楷体" w:hAnsi="楷体" w:eastAsia="楷体"/>
          <w:b/>
          <w:color w:val="000000" w:themeColor="text1"/>
          <w:sz w:val="24"/>
          <w:szCs w:val="24"/>
          <w14:textFill>
            <w14:solidFill>
              <w14:schemeClr w14:val="tx1"/>
            </w14:solidFill>
          </w14:textFill>
        </w:rPr>
        <w:t>玻璃：基本面偏弱，盘面节前减仓反弹</w:t>
      </w:r>
      <w:bookmarkEnd w:id="3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4月2日报道:今日浮法玻璃现货价格1741元/吨，较上一交易日-2元/吨。供给上，周内海南信义4线600T/d放水，产量小幅减少。库存上，截止到20240328，全国浮法玻璃样本企业总库存6693.6万重箱，环比+332.2万重箱，环比+5.22%，同比+4.1%，周内持续疲软。现货端，沙河5mm大板日内稳价，均价1520元/吨附近，湖北和华东地区等其它地区现货继续下跌，临近清明假期，下游月初小幅补库，盘面受沙河和湖北降价产销较好的影响，短线有超跌反弹，基差收敛，但中期高供给压力下叠加清明节的累库效应，可以等待期价反弹至沙河价格的平水附近继续布局空单，后市重点关注玻璃产线冷修情况。</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33" w:name="_Toc25697"/>
      <w:r>
        <w:rPr>
          <w:rFonts w:hint="eastAsia" w:ascii="楷体" w:hAnsi="楷体" w:eastAsia="楷体"/>
          <w:b/>
          <w:color w:val="000000" w:themeColor="text1"/>
          <w:sz w:val="24"/>
          <w:szCs w:val="24"/>
          <w14:textFill>
            <w14:solidFill>
              <w14:schemeClr w14:val="tx1"/>
            </w14:solidFill>
          </w14:textFill>
        </w:rPr>
        <w:t>纯碱：下游光伏点火叠加远兴检修传闻，期价震荡反弹</w:t>
      </w:r>
      <w:bookmarkEnd w:id="33"/>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月初纯碱现货报价高跌低稳，华中和华北报价在1800-1850元/吨左右。从供给端来看，隆众资讯3月28日报道:纯碱产量73.40万吨，环比增加0.16万吨，涨幅0.22%，金山五期恢复，河南骏化和安徽红四方有检修计划，4月初青海发投和昆仑继续提产，整体供给预计延续在72-73万吨。从库存上看，截止到2024年4月1日，本周国内纯碱厂家总库存87.50万吨，环比周四涨4.14万吨，涨幅4.97%。其中，轻质库存37.17万吨，重质库存50.33万吨。盘面近月05合约走交割逻辑，进入4月以后，短期有成本支撑;远月09合约移仓为主力，碱厂开会计划4月稳价，部分企业检修控产，远月反弹收敛基差，但注意反弹至1830-1850平水附近以后上方压力，进一步反弹甚至反转需要看到碱厂出现有规模的集中检修。</w:t>
      </w:r>
    </w:p>
    <w:p>
      <w:pPr>
        <w:ind w:firstLine="480" w:firstLineChars="200"/>
        <w:rPr>
          <w:rFonts w:ascii="楷体" w:hAnsi="楷体" w:eastAsia="楷体"/>
          <w:bCs/>
          <w:sz w:val="24"/>
          <w:szCs w:val="24"/>
        </w:rPr>
      </w:pPr>
    </w:p>
    <w:p>
      <w:pPr>
        <w:ind w:firstLine="482" w:firstLineChars="200"/>
        <w:outlineLvl w:val="1"/>
        <w:rPr>
          <w:rFonts w:ascii="楷体" w:hAnsi="楷体" w:eastAsia="楷体"/>
          <w:b/>
          <w:sz w:val="24"/>
          <w:szCs w:val="24"/>
        </w:rPr>
      </w:pPr>
      <w:bookmarkStart w:id="34" w:name="_Toc13682"/>
      <w:r>
        <w:rPr>
          <w:rFonts w:hint="eastAsia" w:ascii="Times New Roman" w:hAnsi="Times New Roman" w:eastAsia="楷体"/>
          <w:b/>
          <w:color w:val="000000" w:themeColor="text1"/>
          <w:sz w:val="24"/>
          <w:szCs w:val="24"/>
          <w14:textFill>
            <w14:solidFill>
              <w14:schemeClr w14:val="tx1"/>
            </w14:solidFill>
          </w14:textFill>
        </w:rPr>
        <w:t>PTA：盘面走势震荡偏强</w:t>
      </w:r>
      <w:bookmarkEnd w:id="34"/>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成本端原油及PX方面，美国部分经济数据向好及乌克兰再度袭击俄炼厂短期地缘因素对原油盘面的支撑力度有所增强，原油强势冲高。本周PTA装置负荷下调，逸盛大化225万吨计划外降负至7~8成，其他装置基本平稳运行，至3.28 PTA装置负荷降至77.3%（-0.8%）。后续仍有福海创、中泰石化等装置检修。新增产能投产方面，台化150万吨PTA新装置将于3月底投产。本周聚酯装置有一套检修、一套开启，另外局部装置负荷提升，截至3.28，初步核算国内大陆地区聚酯负荷在91.2%附近。终端来看，江浙终端开工高位维持，聚酯工厂采购积极性增加。综合来看，近期PTA部分装置开启检修且下游补库，供需格局改善，4月有望去库。 PTA短期走势驱动核心在成本端，4月PX开启检修且PX加工费低位，留意调油需求对PX价格提振。随着原油再度走强，PTA期价震荡偏强。仅供参考。</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5" w:name="_Toc7917"/>
      <w:r>
        <w:rPr>
          <w:rFonts w:hint="eastAsia" w:ascii="Times New Roman" w:hAnsi="Times New Roman" w:eastAsia="楷体"/>
          <w:b/>
          <w:color w:val="000000" w:themeColor="text1"/>
          <w:sz w:val="24"/>
          <w:szCs w:val="24"/>
          <w14:textFill>
            <w14:solidFill>
              <w14:schemeClr w14:val="tx1"/>
            </w14:solidFill>
          </w14:textFill>
        </w:rPr>
        <w:t>乙二醇：到港增多预期  短期价格震荡</w:t>
      </w:r>
      <w:bookmarkEnd w:id="35"/>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供需情况，4.1华东主港地区MEG港口库存约88万吨附近，环比上期减少3.1万吨。截至3月28日，中国大陆地区乙二醇整体开工负荷在64.93%（+0.95%），其中草酸催化加氢法（合成气）制乙二醇开工负荷在59.72%（+3.63%）。  截至3月28日，国内大陆地区聚酯负荷在91.2%（+0.5%），聚酯开工维持。但聚酯工厂采购积极性不高，发货量持续下滑，港口去库困难。终端来看，江浙终端开工小幅调整，截止3.28江浙下游加弹、织造、印染负荷分别在94%（+0%）、82%（-1%）、90%(+3%)。综合来看，市场已经提前交易3-4月前期装置检修利好，近期乙二醇进口到小幅增加及部分煤化工装置检修推迟，4月供需格局偏宽松，短期价格震荡偏弱。仅供参考。</w:t>
      </w:r>
    </w:p>
    <w:p>
      <w:pPr>
        <w:ind w:firstLine="420" w:firstLineChars="200"/>
        <w:rPr>
          <w:rFonts w:ascii="Times New Roman" w:hAnsi="Times New Roman" w:eastAsia="楷体"/>
          <w:bCs/>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6" w:name="_Toc5799"/>
      <w:r>
        <w:rPr>
          <w:rFonts w:hint="eastAsia" w:ascii="Times New Roman" w:hAnsi="Times New Roman" w:eastAsia="楷体"/>
          <w:b/>
          <w:color w:val="823C0B"/>
          <w:sz w:val="30"/>
          <w:szCs w:val="30"/>
        </w:rPr>
        <w:t>[农产品]</w:t>
      </w:r>
      <w:bookmarkEnd w:id="14"/>
      <w:bookmarkEnd w:id="36"/>
    </w:p>
    <w:p>
      <w:pPr>
        <w:pStyle w:val="93"/>
        <w:spacing w:before="60" w:beforeAutospacing="0" w:after="60" w:afterAutospacing="0"/>
        <w:ind w:left="420" w:leftChars="200"/>
        <w:outlineLvl w:val="1"/>
        <w:rPr>
          <w:rFonts w:ascii="楷体" w:hAnsi="楷体" w:eastAsia="楷体"/>
          <w:b/>
        </w:rPr>
      </w:pPr>
      <w:bookmarkStart w:id="37" w:name="_Toc29803"/>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期价继续震荡上行</w:t>
      </w:r>
      <w:bookmarkEnd w:id="37"/>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春节前后国家增储刺激中游贸易商入市化解东北产区的余粮压力，也形成了东北产区相对高价的局面，由此引发定价权的争夺，即东北产区余粮更多转入贸易商手中，会产生仓储和资金成本，抑制现货回落空间，华北产区则余粮压力仍存，后续还有新作小麦上市压力，南方销区则因为内外价差更倾向于选择进口谷物。在这种情况下，中期逻辑的关键在于国内玉米是否存在产需缺口，短期则需要重点留意国家政策和现货供需博弈的发展。在近期市场消息称国家在东北继续增储，和余粮压力持续消化之后，我们倾向于认为下跌空间或有限，但与此同时，近月期价已经贴近东北产区现货，继续上涨需要现货拉动。我们维持谨慎看多观点，建议投资者持有前期多单。</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近一个月来带动淀粉-玉米价差持续收窄的主要原因有二，其一是行业供需，即行业开机率带动库存持续累积，其二是副产品，受蛋白粕带动副产品价格触底反弹。但后期副产品、原料成本和行业供需三大方面均存在较大的不确定性，而淀粉现货基差与盘面生产利润短期或带来一定支撑。综上所述，我们倾向于认为淀粉-玉米价差或趋于区间震荡，方向尚不明朗。综上所述，我们维持谨慎看多观点，建议前期多单可以考虑继续持有，套利方面则暂以观望为宜。</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8" w:name="_Toc10230"/>
      <w:r>
        <w:rPr>
          <w:rFonts w:hint="eastAsia" w:ascii="楷体" w:hAnsi="楷体" w:eastAsia="楷体"/>
          <w:b/>
          <w:bCs/>
          <w:color w:val="000000" w:themeColor="text1"/>
          <w14:textFill>
            <w14:solidFill>
              <w14:schemeClr w14:val="tx1"/>
            </w14:solidFill>
          </w14:textFill>
        </w:rPr>
        <w:t>畜禽养殖：现货带动期价延续弱势</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市场基于行业产能去化即能繁母猪存栏持续下滑合理预期远期趋于改善，这体现在期价远月升水结构上，市场分歧更多在于供需改善的幅度，主要源于两个方面，其一是产能去化是否达到足以改变行业供需格局的水平，其二是生产效率的提升可能对冲产能去化对生猪实际供应下降的影响。从农业农村部公布的2023年4季度末生猪存栏来看，今年上半年生猪供应量同比下降4%左右，考虑到生猪出栏体重同比上升，这意味着上半年供需改善幅度或受限，更多取决于市场供应节奏，即屠宰企业冷冻入库和养殖户惜售压栏与二次育肥等。相对而言，三季度供应阶段性下降或更为确定，主要原因有二，其一是去年四季度非瘟疫情加上养殖户资金问题加速淘汰，其二是仔猪价格1月以来加速上涨，其对应7月之后生猪供应。此外，三季度原料成本端或存在变数，豆粕主要源于外盘大豆关键生产期天气，而玉米则在于国内产需缺口或逐步体现。据此我们中期谨慎看多，短期维持中性观点，建议投资者观望为宜，可考虑持有月间价差套利。</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从供需层面看，卓创资讯公布的在产蛋鸡存栏持续环比增加，考虑到老龄蛋鸡占比下降，意味着可淘老鸡数量受限，再加上春节后鸡蛋现货价格带动鸡苗价格和种蛋利用率回升，这些均表明行业供需仍有望趋于宽松。当然，节后现货的快速反弹，带来市场对鸡蛋供需预期的分歧，但这不排除更多源于库存的变动。从原料成本角度看，考虑到鸡蛋养殖利润因行业供需处于往年同期低位，饲料成本因素对鸡蛋期现货影响或相对大于生猪，在这种情况下，需要特别留意饲料原料即豆粕和玉米上涨的持续性。综上所述，行业供需宽松格局尚未改变，而饲料原料成本上涨持续性存疑，鸡蛋期现货趋势尚不明朗，或陷入震荡区间调整态势，重点留意现货和利润对应养殖补栏和淘汰积极性的影响。我们维持中性观点，建议投资者观望，可考虑参与短线操作。</w:t>
      </w:r>
    </w:p>
    <w:p>
      <w:pPr>
        <w:ind w:firstLine="480" w:firstLineChars="200"/>
        <w:rPr>
          <w:rFonts w:ascii="楷体" w:hAnsi="楷体" w:eastAsia="楷体"/>
          <w:sz w:val="24"/>
          <w:szCs w:val="24"/>
        </w:rPr>
      </w:pPr>
    </w:p>
    <w:p>
      <w:pPr>
        <w:pStyle w:val="93"/>
        <w:spacing w:before="60" w:beforeAutospacing="0" w:after="60" w:afterAutospacing="0"/>
        <w:ind w:left="420" w:leftChars="200"/>
        <w:outlineLvl w:val="1"/>
        <w:rPr>
          <w:rFonts w:ascii="楷体" w:hAnsi="楷体" w:eastAsia="楷体"/>
          <w:b/>
        </w:rPr>
      </w:pPr>
      <w:bookmarkStart w:id="39" w:name="_Toc5058"/>
      <w:r>
        <w:rPr>
          <w:rFonts w:hint="eastAsia" w:ascii="楷体" w:hAnsi="楷体" w:eastAsia="楷体"/>
          <w:b/>
          <w:bCs/>
          <w:color w:val="000000" w:themeColor="text1"/>
          <w14:textFill>
            <w14:solidFill>
              <w14:schemeClr w14:val="tx1"/>
            </w14:solidFill>
          </w14:textFill>
        </w:rPr>
        <w:t>白糖：涨跌反复，持续观望</w:t>
      </w:r>
      <w:bookmarkEnd w:id="39"/>
    </w:p>
    <w:p>
      <w:pPr>
        <w:pStyle w:val="93"/>
        <w:spacing w:before="0" w:beforeAutospacing="0" w:after="60" w:afterAutospacing="0"/>
        <w:ind w:left="630" w:leftChars="300"/>
        <w:rPr>
          <w:rFonts w:ascii="楷体" w:hAnsi="楷体" w:eastAsia="楷体"/>
        </w:rPr>
      </w:pPr>
      <w:r>
        <w:rPr>
          <w:rFonts w:hint="eastAsia" w:ascii="楷体" w:hAnsi="楷体" w:eastAsia="楷体"/>
        </w:rPr>
        <w:t>据嘉利高报告，美国宣布2024年关税配额增加12.5万吨，由于原美国最大食糖供应国墨西哥作物表现不佳，无法供应足够的食糖，今年巴西获得最大配额，巴西糖市表现进一步影响国际市场。在巴西天气原因导致预估产量下调、释放多头信号的同时，StoneX预估全球食糖过剩量高于预期，市场多空因素交织，价格趋势不明朗。国内市场方面，继昨日日盘下跌后，昨日夜盘重新回调，郑糖2405、2409、2501合约涨幅分别为0.03%、0.13%和0.23%，2405合约未能重回6500位置。昨日外盘白砂糖05合约涨幅1.9%，预计今日郑糖期价跟随上涨。</w:t>
      </w: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40" w:name="_Toc13895"/>
      <w:r>
        <w:rPr>
          <w:rFonts w:hint="eastAsia" w:ascii="Times New Roman" w:hAnsi="Times New Roman" w:eastAsia="楷体"/>
          <w:b/>
          <w:color w:val="823C0B"/>
          <w:sz w:val="30"/>
          <w:szCs w:val="30"/>
        </w:rPr>
        <w:t>[指数]</w:t>
      </w:r>
      <w:bookmarkEnd w:id="40"/>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1" w:name="_Toc29033"/>
      <w:r>
        <w:rPr>
          <w:rFonts w:hint="eastAsia" w:ascii="Times New Roman" w:hAnsi="Times New Roman" w:eastAsia="楷体"/>
          <w:b/>
          <w:color w:val="000000" w:themeColor="text1"/>
          <w:sz w:val="24"/>
          <w:szCs w:val="24"/>
          <w14:textFill>
            <w14:solidFill>
              <w14:schemeClr w14:val="tx1"/>
            </w14:solidFill>
          </w14:textFill>
        </w:rPr>
        <w:t>集运指数（欧线）：船司提价但货运量温和，EC整体偏强震荡</w:t>
      </w:r>
      <w:bookmarkEnd w:id="41"/>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近期多家船司陆续提涨4月船期报价，提涨力度较大。昨日盘后SCFIS超预期上行，对应3月底运价上涨幅度；本期SCFIS欧线收于2174.19点，环比上期上涨1%。</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需求方面，据欧盟统计局公布的数据显示，欧元区3月制造业PMI初值45.7，预期47，2月终值46.5，初值46.1，表现逊于预期，显示欧洲工业还处于筑底阶段。</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此外，亚欧航线已经基本适应了地缘紧张局势的影响，供求平衡情况在近期成为影响运价走势的主要因素。虽然当前需求下滑导致出口货量不足，但船司4月提价开始部分实现，预计盘面偏强，投资者交易保持观望。</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2" w:name="_Toc19667"/>
      <w:bookmarkStart w:id="43" w:name="_Toc72481108"/>
      <w:bookmarkStart w:id="44" w:name="_Toc71212556"/>
      <w:bookmarkStart w:id="45" w:name="_Toc98426751"/>
      <w:bookmarkStart w:id="46" w:name="_Toc12779"/>
      <w:r>
        <w:rPr>
          <w:rFonts w:ascii="Times New Roman" w:hAnsi="Times New Roman" w:eastAsia="楷体"/>
          <w:b/>
          <w:color w:val="411D05"/>
          <w:sz w:val="30"/>
          <w:szCs w:val="30"/>
        </w:rPr>
        <w:t>免责声明</w:t>
      </w:r>
      <w:bookmarkEnd w:id="42"/>
      <w:bookmarkEnd w:id="43"/>
      <w:bookmarkEnd w:id="44"/>
      <w:bookmarkEnd w:id="45"/>
      <w:bookmarkEnd w:id="46"/>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2024年4月3日星期三</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4C17862"/>
    <w:rsid w:val="057D13AE"/>
    <w:rsid w:val="064A667C"/>
    <w:rsid w:val="06B2613D"/>
    <w:rsid w:val="06B753E3"/>
    <w:rsid w:val="08A51999"/>
    <w:rsid w:val="09B849A4"/>
    <w:rsid w:val="09F160E3"/>
    <w:rsid w:val="0AC64130"/>
    <w:rsid w:val="0B42525D"/>
    <w:rsid w:val="0C1F7DEE"/>
    <w:rsid w:val="0C88769D"/>
    <w:rsid w:val="0CDE660D"/>
    <w:rsid w:val="0D032A7C"/>
    <w:rsid w:val="0F662138"/>
    <w:rsid w:val="0F9B0CE9"/>
    <w:rsid w:val="0FF35275"/>
    <w:rsid w:val="100732C8"/>
    <w:rsid w:val="10DA6205"/>
    <w:rsid w:val="111441F0"/>
    <w:rsid w:val="113D3FD2"/>
    <w:rsid w:val="121F7D21"/>
    <w:rsid w:val="129B2E20"/>
    <w:rsid w:val="12AA5DF8"/>
    <w:rsid w:val="1330029C"/>
    <w:rsid w:val="134E6356"/>
    <w:rsid w:val="13AE24B4"/>
    <w:rsid w:val="15364A7C"/>
    <w:rsid w:val="15602ADB"/>
    <w:rsid w:val="15D52593"/>
    <w:rsid w:val="197E6634"/>
    <w:rsid w:val="1B8A2034"/>
    <w:rsid w:val="1BC72FF7"/>
    <w:rsid w:val="1D03226A"/>
    <w:rsid w:val="1D5030CD"/>
    <w:rsid w:val="1D876087"/>
    <w:rsid w:val="1DFF64E4"/>
    <w:rsid w:val="1ECB51CD"/>
    <w:rsid w:val="1F515CF1"/>
    <w:rsid w:val="1FDC1B35"/>
    <w:rsid w:val="1FDD0CDB"/>
    <w:rsid w:val="2056595D"/>
    <w:rsid w:val="20AE4DE8"/>
    <w:rsid w:val="21194658"/>
    <w:rsid w:val="216834DE"/>
    <w:rsid w:val="21996AC1"/>
    <w:rsid w:val="219F3EE2"/>
    <w:rsid w:val="21F57098"/>
    <w:rsid w:val="22BB5089"/>
    <w:rsid w:val="24321B2E"/>
    <w:rsid w:val="244B21DE"/>
    <w:rsid w:val="245C7DFE"/>
    <w:rsid w:val="247F3074"/>
    <w:rsid w:val="24B82D9D"/>
    <w:rsid w:val="251328EC"/>
    <w:rsid w:val="258A2E5C"/>
    <w:rsid w:val="25B924F3"/>
    <w:rsid w:val="25E06B30"/>
    <w:rsid w:val="268419CF"/>
    <w:rsid w:val="26AC2D80"/>
    <w:rsid w:val="26F95364"/>
    <w:rsid w:val="29A303B9"/>
    <w:rsid w:val="2B9C319C"/>
    <w:rsid w:val="2C1D776C"/>
    <w:rsid w:val="2C453820"/>
    <w:rsid w:val="2C527F9F"/>
    <w:rsid w:val="2C6C12B9"/>
    <w:rsid w:val="2CA93C52"/>
    <w:rsid w:val="2D912E3A"/>
    <w:rsid w:val="2DC02C2B"/>
    <w:rsid w:val="2DE440F7"/>
    <w:rsid w:val="2FA14A50"/>
    <w:rsid w:val="2FA70F17"/>
    <w:rsid w:val="30CB447B"/>
    <w:rsid w:val="32951C0D"/>
    <w:rsid w:val="33CE5AF4"/>
    <w:rsid w:val="340E7198"/>
    <w:rsid w:val="34A75784"/>
    <w:rsid w:val="3581551C"/>
    <w:rsid w:val="373F75CC"/>
    <w:rsid w:val="38F320AA"/>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FE09FD"/>
    <w:rsid w:val="3F345DBE"/>
    <w:rsid w:val="40F15753"/>
    <w:rsid w:val="41F950F8"/>
    <w:rsid w:val="42EB3BA1"/>
    <w:rsid w:val="43F11831"/>
    <w:rsid w:val="43F63E0D"/>
    <w:rsid w:val="44092E2E"/>
    <w:rsid w:val="441077D2"/>
    <w:rsid w:val="44396064"/>
    <w:rsid w:val="459609D9"/>
    <w:rsid w:val="45A37566"/>
    <w:rsid w:val="45CF0A85"/>
    <w:rsid w:val="46194A11"/>
    <w:rsid w:val="461E2AF1"/>
    <w:rsid w:val="47752ACA"/>
    <w:rsid w:val="47C813F2"/>
    <w:rsid w:val="49BF13F0"/>
    <w:rsid w:val="4A6F6249"/>
    <w:rsid w:val="4AB74C38"/>
    <w:rsid w:val="4B14426D"/>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70382C"/>
    <w:rsid w:val="57846909"/>
    <w:rsid w:val="57CB522F"/>
    <w:rsid w:val="57F46FBE"/>
    <w:rsid w:val="58042686"/>
    <w:rsid w:val="58246D5D"/>
    <w:rsid w:val="58EC5960"/>
    <w:rsid w:val="59151C86"/>
    <w:rsid w:val="59C52328"/>
    <w:rsid w:val="5AD37D8A"/>
    <w:rsid w:val="5AF87BF9"/>
    <w:rsid w:val="5B906095"/>
    <w:rsid w:val="5BF60A75"/>
    <w:rsid w:val="5C9F2D01"/>
    <w:rsid w:val="5D3F3466"/>
    <w:rsid w:val="5D5617A6"/>
    <w:rsid w:val="5D716329"/>
    <w:rsid w:val="5EA23F15"/>
    <w:rsid w:val="5EA7685B"/>
    <w:rsid w:val="5ED40954"/>
    <w:rsid w:val="60BE22C5"/>
    <w:rsid w:val="612C30C5"/>
    <w:rsid w:val="619A2BBF"/>
    <w:rsid w:val="61DF02D0"/>
    <w:rsid w:val="62710E5F"/>
    <w:rsid w:val="63735B47"/>
    <w:rsid w:val="63FF1EA7"/>
    <w:rsid w:val="64C32497"/>
    <w:rsid w:val="669D0EEA"/>
    <w:rsid w:val="66C861F9"/>
    <w:rsid w:val="66D04BBC"/>
    <w:rsid w:val="67655BF9"/>
    <w:rsid w:val="67C6389B"/>
    <w:rsid w:val="685D4EEE"/>
    <w:rsid w:val="68AE1587"/>
    <w:rsid w:val="68D53E8D"/>
    <w:rsid w:val="6A194855"/>
    <w:rsid w:val="6B292599"/>
    <w:rsid w:val="6D9172E5"/>
    <w:rsid w:val="6E133456"/>
    <w:rsid w:val="6ECB7DD2"/>
    <w:rsid w:val="6F1E315D"/>
    <w:rsid w:val="6F79454F"/>
    <w:rsid w:val="6FE61065"/>
    <w:rsid w:val="70675779"/>
    <w:rsid w:val="713E0334"/>
    <w:rsid w:val="716F5E64"/>
    <w:rsid w:val="72417AFE"/>
    <w:rsid w:val="729B5F03"/>
    <w:rsid w:val="72D92B78"/>
    <w:rsid w:val="72F62A89"/>
    <w:rsid w:val="737357AF"/>
    <w:rsid w:val="74163BE4"/>
    <w:rsid w:val="74A928A6"/>
    <w:rsid w:val="75292EAC"/>
    <w:rsid w:val="755A5FEF"/>
    <w:rsid w:val="75775016"/>
    <w:rsid w:val="758E0106"/>
    <w:rsid w:val="7626762C"/>
    <w:rsid w:val="778F5135"/>
    <w:rsid w:val="77B53D6B"/>
    <w:rsid w:val="77D54B08"/>
    <w:rsid w:val="784F7772"/>
    <w:rsid w:val="78713929"/>
    <w:rsid w:val="78E55995"/>
    <w:rsid w:val="79267C0B"/>
    <w:rsid w:val="79C90FB7"/>
    <w:rsid w:val="7A5B105F"/>
    <w:rsid w:val="7A9E5DA7"/>
    <w:rsid w:val="7ABE4B56"/>
    <w:rsid w:val="7B264F79"/>
    <w:rsid w:val="7B3E5659"/>
    <w:rsid w:val="7BCC4162"/>
    <w:rsid w:val="7CD80967"/>
    <w:rsid w:val="7D0C2828"/>
    <w:rsid w:val="7D902239"/>
    <w:rsid w:val="7EAF7817"/>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1</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2024-04-03T02:16:16Z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