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7" w:name="_GoBack"/>
          <w:bookmarkEnd w:id="47"/>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_Toc28942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_Toc9284 </w:instrText>
          </w:r>
          <w:r>
            <w:rPr>
              <w:bCs/>
            </w:rPr>
            <w:fldChar w:fldCharType="separate"/>
          </w:r>
          <w:r>
            <w:rPr>
              <w:rFonts w:hint="eastAsia" w:ascii="Times New Roman" w:hAnsi="Times New Roman" w:eastAsia="楷体"/>
              <w:szCs w:val="24"/>
            </w:rPr>
            <w:t>股指：关注多IF空IM机会</w:t>
          </w:r>
          <w:r>
            <w:rPr>
              <w:bCs/>
            </w:rPr>
            <w:fldChar w:fldCharType="end"/>
          </w:r>
        </w:p>
        <w:p>
          <w:pPr>
            <w:pStyle w:val="59"/>
            <w:tabs>
              <w:tab w:val="right" w:leader="dot" w:pos="8306"/>
            </w:tabs>
          </w:pPr>
          <w:r>
            <w:rPr>
              <w:bCs/>
            </w:rPr>
            <w:fldChar w:fldCharType="begin"/>
          </w:r>
          <w:r>
            <w:rPr>
              <w:bCs/>
            </w:rPr>
            <w:instrText xml:space="preserve"> HYPERLINK \l _Toc10972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_Toc25818 </w:instrText>
          </w:r>
          <w:r>
            <w:rPr>
              <w:bCs/>
            </w:rPr>
            <w:fldChar w:fldCharType="separate"/>
          </w:r>
          <w:r>
            <w:rPr>
              <w:rFonts w:hint="eastAsia" w:ascii="Times New Roman" w:hAnsi="Times New Roman" w:eastAsia="楷体"/>
              <w:szCs w:val="24"/>
            </w:rPr>
            <w:t>贵金属：美国ISM制造业PMI好于预期，贵金属价格小幅回落</w:t>
          </w:r>
          <w:r>
            <w:rPr>
              <w:bCs/>
            </w:rPr>
            <w:fldChar w:fldCharType="end"/>
          </w:r>
        </w:p>
        <w:p>
          <w:pPr>
            <w:pStyle w:val="59"/>
            <w:tabs>
              <w:tab w:val="right" w:leader="dot" w:pos="8306"/>
            </w:tabs>
          </w:pPr>
          <w:r>
            <w:rPr>
              <w:bCs/>
            </w:rPr>
            <w:fldChar w:fldCharType="begin"/>
          </w:r>
          <w:r>
            <w:rPr>
              <w:bCs/>
            </w:rPr>
            <w:instrText xml:space="preserve"> HYPERLINK \l _Toc577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_Toc27100 </w:instrText>
          </w:r>
          <w:r>
            <w:rPr>
              <w:bCs/>
            </w:rPr>
            <w:fldChar w:fldCharType="separate"/>
          </w:r>
          <w:r>
            <w:rPr>
              <w:rFonts w:hint="eastAsia" w:ascii="楷体" w:hAnsi="楷体" w:eastAsia="楷体"/>
              <w:szCs w:val="24"/>
            </w:rPr>
            <w:t>碳酸锂：下游及终端需求向好，期价反弹</w:t>
          </w:r>
          <w:r>
            <w:rPr>
              <w:bCs/>
            </w:rPr>
            <w:fldChar w:fldCharType="end"/>
          </w:r>
        </w:p>
        <w:p>
          <w:pPr>
            <w:pStyle w:val="74"/>
            <w:tabs>
              <w:tab w:val="right" w:leader="dot" w:pos="8306"/>
            </w:tabs>
          </w:pPr>
          <w:r>
            <w:rPr>
              <w:bCs/>
            </w:rPr>
            <w:fldChar w:fldCharType="begin"/>
          </w:r>
          <w:r>
            <w:rPr>
              <w:bCs/>
            </w:rPr>
            <w:instrText xml:space="preserve"> HYPERLINK \l _Toc19913 </w:instrText>
          </w:r>
          <w:r>
            <w:rPr>
              <w:bCs/>
            </w:rPr>
            <w:fldChar w:fldCharType="separate"/>
          </w:r>
          <w:r>
            <w:rPr>
              <w:rFonts w:hint="eastAsia" w:ascii="楷体" w:hAnsi="楷体" w:eastAsia="楷体"/>
              <w:szCs w:val="24"/>
            </w:rPr>
            <w:t>铜：短期价格维持高位运行</w:t>
          </w:r>
          <w:r>
            <w:rPr>
              <w:bCs/>
            </w:rPr>
            <w:fldChar w:fldCharType="end"/>
          </w:r>
        </w:p>
        <w:p>
          <w:pPr>
            <w:pStyle w:val="74"/>
            <w:tabs>
              <w:tab w:val="right" w:leader="dot" w:pos="8306"/>
            </w:tabs>
          </w:pPr>
          <w:r>
            <w:rPr>
              <w:bCs/>
            </w:rPr>
            <w:fldChar w:fldCharType="begin"/>
          </w:r>
          <w:r>
            <w:rPr>
              <w:bCs/>
            </w:rPr>
            <w:instrText xml:space="preserve"> HYPERLINK \l _Toc826 </w:instrText>
          </w:r>
          <w:r>
            <w:rPr>
              <w:bCs/>
            </w:rPr>
            <w:fldChar w:fldCharType="separate"/>
          </w:r>
          <w:r>
            <w:rPr>
              <w:rFonts w:hint="eastAsia" w:ascii="楷体" w:hAnsi="楷体" w:eastAsia="楷体"/>
              <w:szCs w:val="24"/>
            </w:rPr>
            <w:t>铝：铝价测试长震荡区间上方压力</w:t>
          </w:r>
          <w:r>
            <w:rPr>
              <w:bCs/>
            </w:rPr>
            <w:fldChar w:fldCharType="end"/>
          </w:r>
        </w:p>
        <w:p>
          <w:pPr>
            <w:pStyle w:val="74"/>
            <w:tabs>
              <w:tab w:val="right" w:leader="dot" w:pos="8306"/>
            </w:tabs>
          </w:pPr>
          <w:r>
            <w:rPr>
              <w:bCs/>
            </w:rPr>
            <w:fldChar w:fldCharType="begin"/>
          </w:r>
          <w:r>
            <w:rPr>
              <w:bCs/>
            </w:rPr>
            <w:instrText xml:space="preserve"> HYPERLINK \l _Toc27377 </w:instrText>
          </w:r>
          <w:r>
            <w:rPr>
              <w:bCs/>
            </w:rPr>
            <w:fldChar w:fldCharType="separate"/>
          </w:r>
          <w:r>
            <w:rPr>
              <w:rFonts w:hint="eastAsia" w:ascii="楷体" w:hAnsi="楷体" w:eastAsia="楷体"/>
              <w:szCs w:val="24"/>
            </w:rPr>
            <w:t>锌：锌价反弹修复</w:t>
          </w:r>
          <w:r>
            <w:rPr>
              <w:bCs/>
            </w:rPr>
            <w:fldChar w:fldCharType="end"/>
          </w:r>
        </w:p>
        <w:p>
          <w:pPr>
            <w:pStyle w:val="74"/>
            <w:tabs>
              <w:tab w:val="right" w:leader="dot" w:pos="8306"/>
            </w:tabs>
          </w:pPr>
          <w:r>
            <w:rPr>
              <w:bCs/>
            </w:rPr>
            <w:fldChar w:fldCharType="begin"/>
          </w:r>
          <w:r>
            <w:rPr>
              <w:bCs/>
            </w:rPr>
            <w:instrText xml:space="preserve"> HYPERLINK \l _Toc22684 </w:instrText>
          </w:r>
          <w:r>
            <w:rPr>
              <w:bCs/>
            </w:rPr>
            <w:fldChar w:fldCharType="separate"/>
          </w:r>
          <w:r>
            <w:rPr>
              <w:rFonts w:hint="eastAsia" w:ascii="楷体" w:hAnsi="楷体" w:eastAsia="楷体"/>
              <w:szCs w:val="24"/>
            </w:rPr>
            <w:t>镍：上下缺乏明显驱动因素，暂时观望为宜</w:t>
          </w:r>
          <w:r>
            <w:rPr>
              <w:bCs/>
            </w:rPr>
            <w:fldChar w:fldCharType="end"/>
          </w:r>
        </w:p>
        <w:p>
          <w:pPr>
            <w:pStyle w:val="74"/>
            <w:tabs>
              <w:tab w:val="right" w:leader="dot" w:pos="8306"/>
            </w:tabs>
          </w:pPr>
          <w:r>
            <w:rPr>
              <w:bCs/>
            </w:rPr>
            <w:fldChar w:fldCharType="begin"/>
          </w:r>
          <w:r>
            <w:rPr>
              <w:bCs/>
            </w:rPr>
            <w:instrText xml:space="preserve"> HYPERLINK \l _Toc10840 </w:instrText>
          </w:r>
          <w:r>
            <w:rPr>
              <w:bCs/>
            </w:rPr>
            <w:fldChar w:fldCharType="separate"/>
          </w:r>
          <w:r>
            <w:rPr>
              <w:rFonts w:hint="eastAsia" w:ascii="楷体" w:hAnsi="楷体" w:eastAsia="楷体"/>
              <w:szCs w:val="24"/>
            </w:rPr>
            <w:t>不锈钢：成本托起支撑，但基本面压力凸显</w:t>
          </w:r>
          <w:r>
            <w:rPr>
              <w:bCs/>
            </w:rPr>
            <w:fldChar w:fldCharType="end"/>
          </w:r>
        </w:p>
        <w:p>
          <w:pPr>
            <w:pStyle w:val="74"/>
            <w:tabs>
              <w:tab w:val="right" w:leader="dot" w:pos="8306"/>
            </w:tabs>
          </w:pPr>
          <w:r>
            <w:rPr>
              <w:bCs/>
            </w:rPr>
            <w:fldChar w:fldCharType="begin"/>
          </w:r>
          <w:r>
            <w:rPr>
              <w:bCs/>
            </w:rPr>
            <w:instrText xml:space="preserve"> HYPERLINK \l _Toc2393 </w:instrText>
          </w:r>
          <w:r>
            <w:rPr>
              <w:bCs/>
            </w:rPr>
            <w:fldChar w:fldCharType="separate"/>
          </w:r>
          <w:r>
            <w:rPr>
              <w:rFonts w:hint="eastAsia" w:ascii="楷体" w:hAnsi="楷体" w:eastAsia="楷体"/>
              <w:szCs w:val="24"/>
            </w:rPr>
            <w:t>工业硅：硅料市场大幅走弱，或将压制盘面反弹</w:t>
          </w:r>
          <w:r>
            <w:rPr>
              <w:bCs/>
            </w:rPr>
            <w:fldChar w:fldCharType="end"/>
          </w:r>
        </w:p>
        <w:p>
          <w:pPr>
            <w:pStyle w:val="59"/>
            <w:tabs>
              <w:tab w:val="right" w:leader="dot" w:pos="8306"/>
            </w:tabs>
          </w:pPr>
          <w:r>
            <w:rPr>
              <w:bCs/>
            </w:rPr>
            <w:fldChar w:fldCharType="begin"/>
          </w:r>
          <w:r>
            <w:rPr>
              <w:bCs/>
            </w:rPr>
            <w:instrText xml:space="preserve"> HYPERLINK \l _Toc16998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_Toc23804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基本面大稳小动，橡胶在大跌后短线或企稳反弹</w:t>
          </w:r>
          <w:r>
            <w:rPr>
              <w:bCs/>
            </w:rPr>
            <w:fldChar w:fldCharType="end"/>
          </w:r>
        </w:p>
        <w:p>
          <w:pPr>
            <w:pStyle w:val="74"/>
            <w:tabs>
              <w:tab w:val="right" w:leader="dot" w:pos="8306"/>
            </w:tabs>
          </w:pPr>
          <w:r>
            <w:rPr>
              <w:bCs/>
            </w:rPr>
            <w:fldChar w:fldCharType="begin"/>
          </w:r>
          <w:r>
            <w:rPr>
              <w:bCs/>
            </w:rPr>
            <w:instrText xml:space="preserve"> HYPERLINK \l _Toc9270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_Toc4360 </w:instrText>
          </w:r>
          <w:r>
            <w:rPr>
              <w:bCs/>
            </w:rPr>
            <w:fldChar w:fldCharType="separate"/>
          </w:r>
          <w:r>
            <w:rPr>
              <w:rFonts w:hint="eastAsia" w:ascii="楷体" w:hAnsi="楷体" w:eastAsia="楷体"/>
              <w:szCs w:val="24"/>
            </w:rPr>
            <w:t>玻璃：基本面偏弱，盘面震荡反弹</w:t>
          </w:r>
          <w:r>
            <w:rPr>
              <w:bCs/>
            </w:rPr>
            <w:fldChar w:fldCharType="end"/>
          </w:r>
        </w:p>
        <w:p>
          <w:pPr>
            <w:pStyle w:val="74"/>
            <w:tabs>
              <w:tab w:val="right" w:leader="dot" w:pos="8306"/>
            </w:tabs>
          </w:pPr>
          <w:r>
            <w:rPr>
              <w:bCs/>
            </w:rPr>
            <w:fldChar w:fldCharType="begin"/>
          </w:r>
          <w:r>
            <w:rPr>
              <w:bCs/>
            </w:rPr>
            <w:instrText xml:space="preserve"> HYPERLINK \l _Toc11460 </w:instrText>
          </w:r>
          <w:r>
            <w:rPr>
              <w:bCs/>
            </w:rPr>
            <w:fldChar w:fldCharType="separate"/>
          </w:r>
          <w:r>
            <w:rPr>
              <w:rFonts w:hint="eastAsia" w:ascii="楷体" w:hAnsi="楷体" w:eastAsia="楷体"/>
              <w:szCs w:val="24"/>
            </w:rPr>
            <w:t>纯碱：现货继续下跌，期价反弹承压</w:t>
          </w:r>
          <w:r>
            <w:rPr>
              <w:bCs/>
            </w:rPr>
            <w:fldChar w:fldCharType="end"/>
          </w:r>
        </w:p>
        <w:p>
          <w:pPr>
            <w:pStyle w:val="74"/>
            <w:tabs>
              <w:tab w:val="right" w:leader="dot" w:pos="8306"/>
            </w:tabs>
          </w:pPr>
          <w:r>
            <w:rPr>
              <w:bCs/>
            </w:rPr>
            <w:fldChar w:fldCharType="begin"/>
          </w:r>
          <w:r>
            <w:rPr>
              <w:bCs/>
            </w:rPr>
            <w:instrText xml:space="preserve"> HYPERLINK \l _Toc30180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_Toc15544 </w:instrText>
          </w:r>
          <w:r>
            <w:rPr>
              <w:bCs/>
            </w:rPr>
            <w:fldChar w:fldCharType="separate"/>
          </w:r>
          <w:r>
            <w:rPr>
              <w:rFonts w:hint="eastAsia" w:ascii="Times New Roman" w:hAnsi="Times New Roman" w:eastAsia="楷体"/>
              <w:szCs w:val="24"/>
            </w:rPr>
            <w:t>乙二醇：到港增多预期  短期价格震荡</w:t>
          </w:r>
          <w:r>
            <w:rPr>
              <w:bCs/>
            </w:rPr>
            <w:fldChar w:fldCharType="end"/>
          </w:r>
        </w:p>
        <w:p>
          <w:pPr>
            <w:pStyle w:val="59"/>
            <w:tabs>
              <w:tab w:val="right" w:leader="dot" w:pos="8306"/>
            </w:tabs>
          </w:pPr>
          <w:r>
            <w:rPr>
              <w:bCs/>
            </w:rPr>
            <w:fldChar w:fldCharType="begin"/>
          </w:r>
          <w:r>
            <w:rPr>
              <w:bCs/>
            </w:rPr>
            <w:instrText xml:space="preserve"> HYPERLINK \l _Toc23568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_Toc21307 </w:instrText>
          </w:r>
          <w:r>
            <w:rPr>
              <w:bCs/>
            </w:rPr>
            <w:fldChar w:fldCharType="separate"/>
          </w:r>
          <w:r>
            <w:rPr>
              <w:rFonts w:hint="eastAsia" w:ascii="楷体" w:hAnsi="楷体" w:eastAsia="楷体"/>
              <w:bCs/>
            </w:rPr>
            <w:t>玉米与淀粉：</w:t>
          </w:r>
          <w:r>
            <w:rPr>
              <w:rFonts w:hint="eastAsia" w:ascii="楷体" w:hAnsi="楷体" w:eastAsia="楷体"/>
            </w:rPr>
            <w:t>国家限制保税区玉米进口消息带动玉米期价反弹</w:t>
          </w:r>
          <w:r>
            <w:rPr>
              <w:bCs/>
            </w:rPr>
            <w:fldChar w:fldCharType="end"/>
          </w:r>
        </w:p>
        <w:p>
          <w:pPr>
            <w:pStyle w:val="74"/>
            <w:tabs>
              <w:tab w:val="right" w:leader="dot" w:pos="8306"/>
            </w:tabs>
          </w:pPr>
          <w:r>
            <w:rPr>
              <w:bCs/>
            </w:rPr>
            <w:fldChar w:fldCharType="begin"/>
          </w:r>
          <w:r>
            <w:rPr>
              <w:bCs/>
            </w:rPr>
            <w:instrText xml:space="preserve"> HYPERLINK \l _Toc7185 </w:instrText>
          </w:r>
          <w:r>
            <w:rPr>
              <w:bCs/>
            </w:rPr>
            <w:fldChar w:fldCharType="separate"/>
          </w:r>
          <w:r>
            <w:rPr>
              <w:rFonts w:hint="eastAsia" w:ascii="楷体" w:hAnsi="楷体" w:eastAsia="楷体"/>
              <w:bCs/>
            </w:rPr>
            <w:t>畜禽养殖：鸡蛋期价继续弱势</w:t>
          </w:r>
          <w:r>
            <w:rPr>
              <w:bCs/>
            </w:rPr>
            <w:fldChar w:fldCharType="end"/>
          </w:r>
        </w:p>
        <w:p>
          <w:pPr>
            <w:pStyle w:val="74"/>
            <w:tabs>
              <w:tab w:val="right" w:leader="dot" w:pos="8306"/>
            </w:tabs>
          </w:pPr>
          <w:r>
            <w:rPr>
              <w:bCs/>
            </w:rPr>
            <w:fldChar w:fldCharType="begin"/>
          </w:r>
          <w:r>
            <w:rPr>
              <w:bCs/>
            </w:rPr>
            <w:instrText xml:space="preserve"> HYPERLINK \l _Toc27832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_Toc5819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_Toc11391 </w:instrText>
          </w:r>
          <w:r>
            <w:rPr>
              <w:bCs/>
            </w:rPr>
            <w:fldChar w:fldCharType="separate"/>
          </w:r>
          <w:r>
            <w:rPr>
              <w:rFonts w:hint="eastAsia" w:ascii="Times New Roman" w:hAnsi="Times New Roman" w:eastAsia="楷体"/>
              <w:szCs w:val="24"/>
            </w:rPr>
            <w:t>集运指数（欧线）：船司提价部分实现结算价反弹1%，EC整体偏强震荡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894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928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关注多IF空IM机会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美国3月份制造业活动意外扩张，为自2022年9月以来首次，美元指数走强，人民币汇率承压，或对外资流入进程有所扰动。</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国内3月制造业PMI50.8重返景气区间，环比上升了1.7，升幅超出了以往几年的季节性因素。财新中国制造业PMI为51.1，环比上升0.2个百分点，已连续五个月位于扩张区间，创2023年3月来新高，提振A股四月开门红。三大指数放量单边上行，迅速计价PMI超预期表现，后续经济金融数据能否持续超预期是关键。可能会导致短线市场风格的一定变化，关注多IF空IM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097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5818"/>
      <w:r>
        <w:rPr>
          <w:rFonts w:hint="eastAsia" w:ascii="Times New Roman" w:hAnsi="Times New Roman" w:eastAsia="楷体"/>
          <w:b/>
          <w:color w:val="000000" w:themeColor="text1"/>
          <w:sz w:val="24"/>
          <w:szCs w:val="24"/>
          <w14:textFill>
            <w14:solidFill>
              <w14:schemeClr w14:val="tx1"/>
            </w14:solidFill>
          </w14:textFill>
        </w:rPr>
        <w:t>贵金属：美国ISM制造业PMI好于预期，贵金属价格小幅回落</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0.21%至531.20元/克，沪银跌0.54%至6448元/千克。美国3月份制造业活动意外扩张，生产大幅反弹，需求走强，成本上升，美国3月ISM制造业PMI上升2.5至50.3。受此影响美元指数涨0.43%至104.96，贵金属价格小幅回落。美联储鲍威尔主席提示无需急于降息，但海外市场仍预计其6月大概率启动降息，避险情绪、央行持续购金、美联储降息预期升温等对贵金属价格形成支撑，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57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710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碳酸锂：下游及终端需求向好，期价反弹</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略微低开后震荡上行，尾盘扩大涨幅，07合约收涨4.36%至112600元/吨。市场对于下游及终端需求好转的预期升温，4月锂电整体排产大约增10%左右，铁锂、三元订单均有所增加。股市方面新能源板块表现强势，股期联动下亦带动期价上行。据乘联会数据，3月1-24日，国内新能源车市场零售49万辆，同比去年同期增长39%，较上月同期增长84%，今年以来累计零售155万辆，同比增长38%；3月累计零售的新能源车渗透率47%，纯电环比有所改善。留意江西环保督察后续影响，供需双增背景下，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19913"/>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短期价格维持高位运行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(1)宏观：美国3月ISM制造业PMI上升2.5至50.3。尽管仅略高于50的荣枯线，但该指数止住了连续16个月萎缩的势头。</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(2)库存：4月1日，SHFE仓单库存223168吨，日增1941吨。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(3)精废价差：4月1日，Mysteel精废价差2389，扩张263。目前价差在合理价差1426之上。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美国各项经济数据保持韧性，鲍威尔重申美联储并不急于降息，美元指数延续偏强态势。国内制造业重回荣枯线上方，提振市场信心。短期内外宏观氛围偏中性，对价格驱动有限。产业面，铜精矿TC继续走跌至历史极低位，矿端偏紧预期仍在发酵，4月冶炼厂进入集中检修阶段，消费或边际好转，库存有望去化，短期价格维持高位运行，主波动区间参考71500-73500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826"/>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铝价测试长震荡区间上方压力</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3月议息决议维持利率不变，欧美经济数据表现强韧，预期降息窗口出现在下半年，国内继续发布政策刺激消费，持续释放积极信号。据消息，云南电解铝产能恢复85%，供应端仍有复产增量预期，电解铝利润伴随铝价上升而持续走增，冶炼端开产积极性保持，下游需求进入金三银四旺季，部分产业反映市场畏 高铝价下游订单减少，目前在需求证伪真空期，铝棒库存持续去库，国内社库拐入去库，释放积极利多信号。宏观情绪偏多为主，供应端变化有限维持高产，需求旺季之下有改善预期，社库去库，价格测试19700-20000，预计短期内保持价格高位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7377"/>
      <w:r>
        <w:rPr>
          <w:rFonts w:hint="eastAsia" w:ascii="楷体" w:hAnsi="楷体" w:eastAsia="楷体"/>
          <w:b/>
          <w:color w:val="000000" w:themeColor="text1"/>
          <w:sz w:val="24"/>
          <w:szCs w:val="24"/>
          <w14:textFill>
            <w14:solidFill>
              <w14:schemeClr w14:val="tx1"/>
            </w14:solidFill>
          </w14:textFill>
        </w:rPr>
        <w:t>锌：锌价反弹修复</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降息预期拖延，美国经济表现强劲，国内持续出台政策刺激消费。原料端受限带来供应收缩预期，精矿加工费负反馈生产亏损降低冶炼端生产意愿，海外锌企有减停产消息，镀锌开工环比上行，但需求有回升不及预期，整体库存水平绝对位置较低，价格在20300-21500区间震荡，锌价出现反弹修复，短期内价格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2684"/>
      <w:r>
        <w:rPr>
          <w:rFonts w:hint="eastAsia" w:ascii="楷体" w:hAnsi="楷体" w:eastAsia="楷体"/>
          <w:b/>
          <w:color w:val="000000" w:themeColor="text1"/>
          <w:sz w:val="24"/>
          <w:szCs w:val="24"/>
          <w14:textFill>
            <w14:solidFill>
              <w14:schemeClr w14:val="tx1"/>
            </w14:solidFill>
          </w14:textFill>
        </w:rPr>
        <w:t>镍：上下缺乏明显驱动因素，暂时观望为宜</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方面，2月份我国MHP进口量下降达66.1%，目前MHP供应仍维持偏紧状态，价格折扣系数维持偏高水平。近期硫酸镍价格稳中偏强运行也主要来自MHP的成本压力，关注中间品供应恢复情况。需求方面，受宏观利好政策提振，3月新能源汽车市场有所回暖，但实际对镍的需求改善程度较有限；不锈钢市场的需求表现不佳，4月或有减产可能。供应方面，2月我国精炼镍产量环比增加7.48%，镍市仍处于供应显著过剩格局之中。综合而言，印尼镍矿供应不确定性为镍带来的溢价逐渐消退，镍价上方空间持续受到供应过剩格局施压，不过供应过剩逻辑已被市场充分交易，在当前镍价估值已回归至相对合理水平及电积镍成本支撑下，镍价暂无继续深跌的明显驱动，预计震荡偏弱运行，建议暂时观望。</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0840"/>
      <w:r>
        <w:rPr>
          <w:rFonts w:hint="eastAsia" w:ascii="楷体" w:hAnsi="楷体" w:eastAsia="楷体"/>
          <w:b/>
          <w:color w:val="000000" w:themeColor="text1"/>
          <w:sz w:val="24"/>
          <w:szCs w:val="24"/>
          <w14:textFill>
            <w14:solidFill>
              <w14:schemeClr w14:val="tx1"/>
            </w14:solidFill>
          </w14:textFill>
        </w:rPr>
        <w:t>不锈钢：成本托起支撑，但基本面压力凸显</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供应担忧逻辑对盘面的影响消退，镍矿供应逐步恢复，镍价价格承压。镍铁端，由于镍矿资源偏紧问题逐步缓解，印尼镍铁回流压力也将增加，且下游需求较弱，近期镍铁成交价格已降至920元/镍（到厂含税），预计镍铁价格将继续偏弱运行。铬铁端，铬矿价格上行抬升铬铁成本，而铬铁供应具有明显增量对价格带来压制，预计短期铬铁价格持稳为主。需求端，下游消费不振，市场成交多以刚需采购为主，对不锈钢价格带来明显制约。供应端，目前不锈钢处于高供应、高库存的状态，仓单库存持续刷新历史高位，后续仓单资源流出将带来明显库存压力。综合而言，需求不佳及库存高位对价格带来压制，不锈钢价格缺乏向上驱动，但当前部分钢厂已出现亏损，成本支撑下盘面继续下跌的空间也有限，暂时观望为宜，关注后续钢厂是否减产及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39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硅料市场大幅走弱，或将压制盘面反弹</w:t>
      </w:r>
      <w:bookmarkEnd w:id="27"/>
    </w:p>
    <w:p>
      <w:pPr>
        <w:ind w:left="630" w:leftChars="300"/>
        <w:rPr>
          <w:rFonts w:ascii="楷体" w:hAnsi="楷体" w:eastAsia="楷体"/>
          <w:sz w:val="24"/>
          <w:szCs w:val="24"/>
        </w:rPr>
      </w:pPr>
      <w:r>
        <w:rPr>
          <w:rFonts w:hint="eastAsia" w:ascii="楷体" w:hAnsi="楷体" w:eastAsia="楷体"/>
          <w:sz w:val="24"/>
          <w:szCs w:val="24"/>
        </w:rPr>
        <w:t>4月1日，Si2405主力合约呈低开反弹走势，收盘价11920元/吨，较上一收盘价涨跌幅-0.21%。据SMM调研了解，近期多晶硅市场再度大幅下跌，其中优质N型硅料跌至6万元/吨，跌幅达到10%，随着多晶硅库存持续累库，后续或仍有进一步下跌预期，或将引发对工业硅采购压价情绪进一步加剧。因此，在工业硅行业库存整体偏高，尤其仓单压力暂未得到缓解情况下，叠加需求边际转弱预期，对盘面反弹存在压制作用。策略上，建议谨慎资金可以暂时观望，激进资金可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6998"/>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380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基本面大稳小动，橡胶在大跌后短线或企稳反弹</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进入供应淡季，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受东南亚现货报价近日走低以及短线涨幅较大技术面上有修正需求等因素影响，沪胶近期大幅下挫。但盘面从日线级别看已经形成底分型结构，同时15、60分钟级别也有底背离情况出现，做多信号出现。同时在基本面无进一步恶化的情况下，建议把握逢低做多的机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9270"/>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较高的情况下难以看到大规模的补库，建议PP短期空单减仓，PE中期参与多单。</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4360"/>
      <w:r>
        <w:rPr>
          <w:rFonts w:hint="eastAsia" w:ascii="楷体" w:hAnsi="楷体" w:eastAsia="楷体"/>
          <w:b/>
          <w:color w:val="000000" w:themeColor="text1"/>
          <w:sz w:val="24"/>
          <w:szCs w:val="24"/>
          <w14:textFill>
            <w14:solidFill>
              <w14:schemeClr w14:val="tx1"/>
            </w14:solidFill>
          </w14:textFill>
        </w:rPr>
        <w:t>玻璃：基本面偏弱，盘面震荡反弹</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4月1日报道：今日浮法玻璃现货价格1743元/吨，较上一交易日-14元/吨。供给上，海南信义4线600T/d放水，产量小幅减少。库存上，截止到20240328，全国浮法玻璃样本企业总库存6693.6万重箱，环比+332.2万重箱，环比+5.22%，同比+4.1%，周内持续疲软。现货端，沙河5mm大板日内稳价，均价1520元/吨附近，湖北和华东地区等其它地区现货继续下跌，临近清明假期，下游月初小幅补库，盘面受沙河和湖北降价产销较好的影响，短线有超跌反弹，基差收敛，但中期高供给压力下叠加清明节的累库效应，可以等待期价反弹至沙河价格的平水附近继续布局空单，后市重点关注玻璃产线冷修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11460"/>
      <w:r>
        <w:rPr>
          <w:rFonts w:hint="eastAsia" w:ascii="楷体" w:hAnsi="楷体" w:eastAsia="楷体"/>
          <w:b/>
          <w:color w:val="000000" w:themeColor="text1"/>
          <w:sz w:val="24"/>
          <w:szCs w:val="24"/>
          <w14:textFill>
            <w14:solidFill>
              <w14:schemeClr w14:val="tx1"/>
            </w14:solidFill>
          </w14:textFill>
        </w:rPr>
        <w:t>纯碱：现货继续下跌，期价反弹承压</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月初纯碱现货报价继续下跌，西北地区重碱下调100元/吨。从供给端来看，隆众资讯3月28日报道：纯碱产量73.40万吨，环比增加0.16万吨，涨幅0.22%，金山五期恢复，河南骏化和安徽红四方有检修计划，4月初青海发投和昆仑继续提产，整体供给预计延续在72-73万吨。从库存上看，截止到2024年4月1日，本周国内纯碱厂家总库存87.50万吨，环比周四涨4.14万吨，涨幅4.97%。其中，轻质库存37.17万吨，重质库存50.33万吨。盘面近强远弱，近月05合约走交割逻辑，进入4月以后，短期在1750-1800成本附近有一定支撑；远月09合约移仓为主力，近期在碱厂开会计划4月稳价的情绪和远兴重碱交割品不合格的消息刺激下，开始收敛基差进入反弹行情，但注意反弹至平水附近以后，累库趋势下，上方仍有压力，进一步反弹甚至反转需要看到碱厂出现有规模的集中检修。</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30180"/>
      <w:r>
        <w:rPr>
          <w:rFonts w:hint="eastAsia" w:ascii="Times New Roman" w:hAnsi="Times New Roman" w:eastAsia="楷体"/>
          <w:b/>
          <w:color w:val="000000" w:themeColor="text1"/>
          <w:sz w:val="24"/>
          <w:szCs w:val="24"/>
          <w14:textFill>
            <w14:solidFill>
              <w14:schemeClr w14:val="tx1"/>
            </w14:solidFill>
          </w14:textFill>
        </w:rPr>
        <w:t>PTA：盘面走势震荡偏强</w:t>
      </w:r>
      <w:bookmarkEnd w:id="34"/>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成本端原油及PX方面，美国部分经济数据向好及短期地缘因素对原油盘面的支撑力度有所增强，原油强势冲高。本周PTA装置负荷下调，逸盛大化225万吨计划外降负至7~8成，其他装置基本平稳运行，至3.28 PTA装置负荷降至77.3%（-0.8%）。后续仍有福海创、中泰石化等装置检修。新增产能投产方面，台化150万吨PTA新装置将于3月底投产。本周聚酯装置有一套检修、一套开启，另外局部装置负荷提升，截至3.28，初步核算国内大陆地区聚酯负荷在91.2%附近。终端来看，江浙终端开工高位维持，聚酯工厂采购积极性增加。综合来看，近期PTA部分装置开启检修且下游补库，供需格局改善，4月有望去库。 PTA短期走势驱动核心在成本端，4月PX开启检修且PX加工费低位，留意调油需求对PX价格提振。随着原油再度走强，PTA期价震荡偏强。仅供参考。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15544"/>
      <w:r>
        <w:rPr>
          <w:rFonts w:hint="eastAsia" w:ascii="Times New Roman" w:hAnsi="Times New Roman" w:eastAsia="楷体"/>
          <w:b/>
          <w:color w:val="000000" w:themeColor="text1"/>
          <w:sz w:val="24"/>
          <w:szCs w:val="24"/>
          <w14:textFill>
            <w14:solidFill>
              <w14:schemeClr w14:val="tx1"/>
            </w14:solidFill>
          </w14:textFill>
        </w:rPr>
        <w:t>乙二醇：到港增多预期  短期价格震荡</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供需情况，4.1华东主港地区MEG港口库存约88万吨附近，环比上期减少3.1万吨。截至3月28日，中国大陆地区乙二醇整体开工负荷在64.93%（+0.95%），其中草酸催化加氢法（合成气）制乙二醇开工负荷在59.72%（+3.63%）。  截至3月28日，国内大陆地区聚酯负荷在91.2%（+0.5%），聚酯开工维持。但聚酯工厂采购积极性不高，发货量持续下滑，港口去库困难。终端来看，江浙终端开工小幅调整，截止3.28江浙下游加弹、织造、印染负荷分别在94%（+0%）、82%（-1%）、90%(+3%)。综合来看，市场已经提前交易3-4月前期装置检修利好，近期乙二醇进口到小幅增加及部分煤化工装置检修推迟，4月供需格局偏宽松，短期价格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23568"/>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2130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国家限制保税区玉米进口消息带动玉米期价反弹</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在这种情况下，中期逻辑的关键在于国内玉米是否存在产需缺口，短期则需要重点留意国家政策和现货供需博弈的发展。在近期市场消息称国家在东北继续增储，和余粮压力持续消化之后，我们倾向于认为下跌空间或有限，但与此同时，近月期价已经贴近东北产区现货，继续上涨需要现货拉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一个月来带动淀粉-玉米价差持续收窄的主要原因有二，其一是行业供需，即行业开机率带动库存持续累积，其二是副产品，受蛋白粕带动副产品价格触底反弹。但后期副产品、原料成本和行业供需三大方面均存在较大的不确定性，而淀粉现货基差与盘面生产利润短期或带来一定支撑。综上所述，我们倾向于认为淀粉-玉米价差或趋于区间震荡，方向尚不明朗。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7185"/>
      <w:r>
        <w:rPr>
          <w:rFonts w:hint="eastAsia" w:ascii="楷体" w:hAnsi="楷体" w:eastAsia="楷体"/>
          <w:b/>
          <w:bCs/>
          <w:color w:val="000000" w:themeColor="text1"/>
          <w14:textFill>
            <w14:solidFill>
              <w14:schemeClr w14:val="tx1"/>
            </w14:solidFill>
          </w14:textFill>
        </w:rPr>
        <w:t>畜禽养殖：鸡蛋期价继续弱势</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相对而言，三季度供应阶段性下降或更为确定，主要原因有二，其一是去年四季度非瘟疫情加上养殖户资金问题加速淘汰，其二是仔猪价格1月以来加速上涨，其对应7月之后生猪供应。此外，三季度原料成本端或存在变数，豆粕主要源于外盘大豆关键生产期天气，而玉米则在于国内产需缺口或逐步体现。据此我们中期谨慎看多，短期维持中性观点，建议投资者观望为宜，可考虑持有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27832"/>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5819"/>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11391"/>
      <w:r>
        <w:rPr>
          <w:rFonts w:hint="eastAsia" w:ascii="Times New Roman" w:hAnsi="Times New Roman" w:eastAsia="楷体"/>
          <w:b/>
          <w:color w:val="000000" w:themeColor="text1"/>
          <w:sz w:val="24"/>
          <w:szCs w:val="24"/>
          <w14:textFill>
            <w14:solidFill>
              <w14:schemeClr w14:val="tx1"/>
            </w14:solidFill>
          </w14:textFill>
        </w:rPr>
        <w:t>集运指数（欧线）：船司提价部分实现结算价反弹1%，EC整体偏强震荡</w:t>
      </w:r>
      <w:bookmarkEnd w:id="41"/>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近期多家船司陆续提涨4月船期报价，提涨力度较大。昨日盘后SCFIS超预期上行，对应3月底运价上涨幅度；本期SCFIS欧线收于2174.19点，环比上期上涨1%。</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需求方面，据欧盟统计局公布的数据显示，欧元区3月制造业PMI初值45.7，预期47，2月终值46.5，初值46.1，表现逊于预期，显示欧洲工业还处于筑底阶段。</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虽然当前需求下滑导致出口货量不足，但船司4月提价开始部分实现，预计盘面偏强，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9667"/>
      <w:bookmarkStart w:id="43" w:name="_Toc72481108"/>
      <w:bookmarkStart w:id="44" w:name="_Toc12779"/>
      <w:bookmarkStart w:id="45" w:name="_Toc71212556"/>
      <w:bookmarkStart w:id="46" w:name="_Toc98426751"/>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2024年4月2日星期二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527F9F"/>
    <w:rsid w:val="2C6C12B9"/>
    <w:rsid w:val="2CA93C52"/>
    <w:rsid w:val="2D912E3A"/>
    <w:rsid w:val="2DC02C2B"/>
    <w:rsid w:val="2DE440F7"/>
    <w:rsid w:val="2FA14A50"/>
    <w:rsid w:val="2FA70F17"/>
    <w:rsid w:val="30CB447B"/>
    <w:rsid w:val="32951C0D"/>
    <w:rsid w:val="33CE5AF4"/>
    <w:rsid w:val="340E7198"/>
    <w:rsid w:val="34A75784"/>
    <w:rsid w:val="3581551C"/>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2024-04-02T02:47:05Z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