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7" w:name="_GoBack"/>
          <w:bookmarkEnd w:id="47"/>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_Toc27777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_Toc24131 </w:instrText>
          </w:r>
          <w:r>
            <w:rPr>
              <w:bCs/>
            </w:rPr>
            <w:fldChar w:fldCharType="separate"/>
          </w:r>
          <w:r>
            <w:rPr>
              <w:rFonts w:hint="eastAsia" w:ascii="Times New Roman" w:hAnsi="Times New Roman" w:eastAsia="楷体"/>
              <w:szCs w:val="24"/>
            </w:rPr>
            <w:t>股指：关注多IF空IM机会</w:t>
          </w:r>
          <w:r>
            <w:rPr>
              <w:bCs/>
            </w:rPr>
            <w:fldChar w:fldCharType="end"/>
          </w:r>
        </w:p>
        <w:p>
          <w:pPr>
            <w:pStyle w:val="59"/>
            <w:tabs>
              <w:tab w:val="right" w:leader="dot" w:pos="8306"/>
            </w:tabs>
          </w:pPr>
          <w:r>
            <w:rPr>
              <w:bCs/>
            </w:rPr>
            <w:fldChar w:fldCharType="begin"/>
          </w:r>
          <w:r>
            <w:rPr>
              <w:bCs/>
            </w:rPr>
            <w:instrText xml:space="preserve"> HYPERLINK \l _Toc13758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_Toc24569 </w:instrText>
          </w:r>
          <w:r>
            <w:rPr>
              <w:bCs/>
            </w:rPr>
            <w:fldChar w:fldCharType="separate"/>
          </w:r>
          <w:r>
            <w:rPr>
              <w:rFonts w:hint="eastAsia" w:ascii="Times New Roman" w:hAnsi="Times New Roman" w:eastAsia="楷体"/>
              <w:szCs w:val="24"/>
            </w:rPr>
            <w:t>贵金属：黄金波动率低位运行，贵金属价格小幅上涨</w:t>
          </w:r>
          <w:r>
            <w:rPr>
              <w:bCs/>
            </w:rPr>
            <w:fldChar w:fldCharType="end"/>
          </w:r>
        </w:p>
        <w:p>
          <w:pPr>
            <w:pStyle w:val="59"/>
            <w:tabs>
              <w:tab w:val="right" w:leader="dot" w:pos="8306"/>
            </w:tabs>
          </w:pPr>
          <w:r>
            <w:rPr>
              <w:bCs/>
            </w:rPr>
            <w:fldChar w:fldCharType="begin"/>
          </w:r>
          <w:r>
            <w:rPr>
              <w:bCs/>
            </w:rPr>
            <w:instrText xml:space="preserve"> HYPERLINK \l _Toc27249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_Toc7680 </w:instrText>
          </w:r>
          <w:r>
            <w:rPr>
              <w:bCs/>
            </w:rPr>
            <w:fldChar w:fldCharType="separate"/>
          </w:r>
          <w:r>
            <w:rPr>
              <w:rFonts w:hint="eastAsia" w:ascii="楷体" w:hAnsi="楷体" w:eastAsia="楷体"/>
              <w:szCs w:val="24"/>
            </w:rPr>
            <w:t>碳酸锂：新能源车零售环比正向增长，期价止跌小幅反弹</w:t>
          </w:r>
          <w:r>
            <w:rPr>
              <w:bCs/>
            </w:rPr>
            <w:fldChar w:fldCharType="end"/>
          </w:r>
        </w:p>
        <w:p>
          <w:pPr>
            <w:pStyle w:val="74"/>
            <w:tabs>
              <w:tab w:val="right" w:leader="dot" w:pos="8306"/>
            </w:tabs>
          </w:pPr>
          <w:r>
            <w:rPr>
              <w:bCs/>
            </w:rPr>
            <w:fldChar w:fldCharType="begin"/>
          </w:r>
          <w:r>
            <w:rPr>
              <w:bCs/>
            </w:rPr>
            <w:instrText xml:space="preserve"> HYPERLINK \l _Toc32547 </w:instrText>
          </w:r>
          <w:r>
            <w:rPr>
              <w:bCs/>
            </w:rPr>
            <w:fldChar w:fldCharType="separate"/>
          </w:r>
          <w:r>
            <w:rPr>
              <w:rFonts w:hint="eastAsia" w:ascii="楷体" w:hAnsi="楷体" w:eastAsia="楷体"/>
              <w:szCs w:val="24"/>
            </w:rPr>
            <w:t>铜：短期价格高位僵持，关注CSPT会议</w:t>
          </w:r>
          <w:r>
            <w:rPr>
              <w:bCs/>
            </w:rPr>
            <w:fldChar w:fldCharType="end"/>
          </w:r>
        </w:p>
        <w:p>
          <w:pPr>
            <w:pStyle w:val="74"/>
            <w:tabs>
              <w:tab w:val="right" w:leader="dot" w:pos="8306"/>
            </w:tabs>
          </w:pPr>
          <w:r>
            <w:rPr>
              <w:bCs/>
            </w:rPr>
            <w:fldChar w:fldCharType="begin"/>
          </w:r>
          <w:r>
            <w:rPr>
              <w:bCs/>
            </w:rPr>
            <w:instrText xml:space="preserve"> HYPERLINK \l _Toc19002 </w:instrText>
          </w:r>
          <w:r>
            <w:rPr>
              <w:bCs/>
            </w:rPr>
            <w:fldChar w:fldCharType="separate"/>
          </w:r>
          <w:r>
            <w:rPr>
              <w:rFonts w:hint="eastAsia" w:ascii="楷体" w:hAnsi="楷体" w:eastAsia="楷体"/>
              <w:szCs w:val="24"/>
            </w:rPr>
            <w:t>铝：库存累积减弱价格上行动力，趋势上维持偏强判断</w:t>
          </w:r>
          <w:r>
            <w:rPr>
              <w:bCs/>
            </w:rPr>
            <w:fldChar w:fldCharType="end"/>
          </w:r>
        </w:p>
        <w:p>
          <w:pPr>
            <w:pStyle w:val="74"/>
            <w:tabs>
              <w:tab w:val="right" w:leader="dot" w:pos="8306"/>
            </w:tabs>
          </w:pPr>
          <w:r>
            <w:rPr>
              <w:bCs/>
            </w:rPr>
            <w:fldChar w:fldCharType="begin"/>
          </w:r>
          <w:r>
            <w:rPr>
              <w:bCs/>
            </w:rPr>
            <w:instrText xml:space="preserve"> HYPERLINK \l _Toc14242 </w:instrText>
          </w:r>
          <w:r>
            <w:rPr>
              <w:bCs/>
            </w:rPr>
            <w:fldChar w:fldCharType="separate"/>
          </w:r>
          <w:r>
            <w:rPr>
              <w:rFonts w:hint="eastAsia" w:ascii="楷体" w:hAnsi="楷体" w:eastAsia="楷体"/>
              <w:szCs w:val="24"/>
            </w:rPr>
            <w:t>锌：锌价走弱探底，建议观望</w:t>
          </w:r>
          <w:r>
            <w:rPr>
              <w:bCs/>
            </w:rPr>
            <w:fldChar w:fldCharType="end"/>
          </w:r>
        </w:p>
        <w:p>
          <w:pPr>
            <w:pStyle w:val="74"/>
            <w:tabs>
              <w:tab w:val="right" w:leader="dot" w:pos="8306"/>
            </w:tabs>
          </w:pPr>
          <w:r>
            <w:rPr>
              <w:bCs/>
            </w:rPr>
            <w:fldChar w:fldCharType="begin"/>
          </w:r>
          <w:r>
            <w:rPr>
              <w:bCs/>
            </w:rPr>
            <w:instrText xml:space="preserve"> HYPERLINK \l _Toc29905 </w:instrText>
          </w:r>
          <w:r>
            <w:rPr>
              <w:bCs/>
            </w:rPr>
            <w:fldChar w:fldCharType="separate"/>
          </w:r>
          <w:r>
            <w:rPr>
              <w:rFonts w:hint="eastAsia" w:ascii="楷体" w:hAnsi="楷体" w:eastAsia="楷体"/>
              <w:szCs w:val="24"/>
            </w:rPr>
            <w:t>镍：溢价回吐，预计震荡偏弱运行</w:t>
          </w:r>
          <w:r>
            <w:rPr>
              <w:bCs/>
            </w:rPr>
            <w:fldChar w:fldCharType="end"/>
          </w:r>
        </w:p>
        <w:p>
          <w:pPr>
            <w:pStyle w:val="74"/>
            <w:tabs>
              <w:tab w:val="right" w:leader="dot" w:pos="8306"/>
            </w:tabs>
          </w:pPr>
          <w:r>
            <w:rPr>
              <w:bCs/>
            </w:rPr>
            <w:fldChar w:fldCharType="begin"/>
          </w:r>
          <w:r>
            <w:rPr>
              <w:bCs/>
            </w:rPr>
            <w:instrText xml:space="preserve"> HYPERLINK \l _Toc6334 </w:instrText>
          </w:r>
          <w:r>
            <w:rPr>
              <w:bCs/>
            </w:rPr>
            <w:fldChar w:fldCharType="separate"/>
          </w:r>
          <w:r>
            <w:rPr>
              <w:rFonts w:hint="eastAsia" w:ascii="楷体" w:hAnsi="楷体" w:eastAsia="楷体"/>
              <w:szCs w:val="24"/>
            </w:rPr>
            <w:t>不锈钢：基本面偏弱，压制不锈钢价格</w:t>
          </w:r>
          <w:r>
            <w:rPr>
              <w:bCs/>
            </w:rPr>
            <w:fldChar w:fldCharType="end"/>
          </w:r>
        </w:p>
        <w:p>
          <w:pPr>
            <w:pStyle w:val="74"/>
            <w:tabs>
              <w:tab w:val="right" w:leader="dot" w:pos="8306"/>
            </w:tabs>
          </w:pPr>
          <w:r>
            <w:rPr>
              <w:bCs/>
            </w:rPr>
            <w:fldChar w:fldCharType="begin"/>
          </w:r>
          <w:r>
            <w:rPr>
              <w:bCs/>
            </w:rPr>
            <w:instrText xml:space="preserve"> HYPERLINK \l _Toc6008 </w:instrText>
          </w:r>
          <w:r>
            <w:rPr>
              <w:bCs/>
            </w:rPr>
            <w:fldChar w:fldCharType="separate"/>
          </w:r>
          <w:r>
            <w:rPr>
              <w:rFonts w:hint="eastAsia" w:ascii="楷体" w:hAnsi="楷体" w:eastAsia="楷体"/>
              <w:szCs w:val="24"/>
            </w:rPr>
            <w:t>工业硅：基本面走弱预期下，盘面或维持偏弱运行</w:t>
          </w:r>
          <w:r>
            <w:rPr>
              <w:bCs/>
            </w:rPr>
            <w:fldChar w:fldCharType="end"/>
          </w:r>
        </w:p>
        <w:p>
          <w:pPr>
            <w:pStyle w:val="59"/>
            <w:tabs>
              <w:tab w:val="right" w:leader="dot" w:pos="8306"/>
            </w:tabs>
          </w:pPr>
          <w:r>
            <w:rPr>
              <w:bCs/>
            </w:rPr>
            <w:fldChar w:fldCharType="begin"/>
          </w:r>
          <w:r>
            <w:rPr>
              <w:bCs/>
            </w:rPr>
            <w:instrText xml:space="preserve"> HYPERLINK \l _Toc9463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_Toc17376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短线涨幅过大叠加泰国原料价格下调，橡胶短期或回调整理</w:t>
          </w:r>
          <w:r>
            <w:rPr>
              <w:bCs/>
            </w:rPr>
            <w:fldChar w:fldCharType="end"/>
          </w:r>
        </w:p>
        <w:p>
          <w:pPr>
            <w:pStyle w:val="74"/>
            <w:tabs>
              <w:tab w:val="right" w:leader="dot" w:pos="8306"/>
            </w:tabs>
          </w:pPr>
          <w:r>
            <w:rPr>
              <w:bCs/>
            </w:rPr>
            <w:fldChar w:fldCharType="begin"/>
          </w:r>
          <w:r>
            <w:rPr>
              <w:bCs/>
            </w:rPr>
            <w:instrText xml:space="preserve"> HYPERLINK \l _Toc9128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_Toc22204 </w:instrText>
          </w:r>
          <w:r>
            <w:rPr>
              <w:bCs/>
            </w:rPr>
            <w:fldChar w:fldCharType="separate"/>
          </w:r>
          <w:r>
            <w:rPr>
              <w:rFonts w:hint="eastAsia" w:ascii="楷体" w:hAnsi="楷体" w:eastAsia="楷体"/>
              <w:szCs w:val="24"/>
            </w:rPr>
            <w:t>玻璃：产业情绪悲观，期现持续负反馈</w:t>
          </w:r>
          <w:r>
            <w:rPr>
              <w:bCs/>
            </w:rPr>
            <w:fldChar w:fldCharType="end"/>
          </w:r>
        </w:p>
        <w:p>
          <w:pPr>
            <w:pStyle w:val="74"/>
            <w:tabs>
              <w:tab w:val="right" w:leader="dot" w:pos="8306"/>
            </w:tabs>
          </w:pPr>
          <w:r>
            <w:rPr>
              <w:bCs/>
            </w:rPr>
            <w:fldChar w:fldCharType="begin"/>
          </w:r>
          <w:r>
            <w:rPr>
              <w:bCs/>
            </w:rPr>
            <w:instrText xml:space="preserve"> HYPERLINK \l _Toc28268 </w:instrText>
          </w:r>
          <w:r>
            <w:rPr>
              <w:bCs/>
            </w:rPr>
            <w:fldChar w:fldCharType="separate"/>
          </w:r>
          <w:r>
            <w:rPr>
              <w:rFonts w:hint="eastAsia" w:ascii="楷体" w:hAnsi="楷体" w:eastAsia="楷体"/>
              <w:szCs w:val="24"/>
            </w:rPr>
            <w:t>纯碱：现货降价预期浓厚，库存加速累库</w:t>
          </w:r>
          <w:r>
            <w:rPr>
              <w:bCs/>
            </w:rPr>
            <w:fldChar w:fldCharType="end"/>
          </w:r>
        </w:p>
        <w:p>
          <w:pPr>
            <w:pStyle w:val="74"/>
            <w:tabs>
              <w:tab w:val="right" w:leader="dot" w:pos="8306"/>
            </w:tabs>
          </w:pPr>
          <w:r>
            <w:rPr>
              <w:bCs/>
            </w:rPr>
            <w:fldChar w:fldCharType="begin"/>
          </w:r>
          <w:r>
            <w:rPr>
              <w:bCs/>
            </w:rPr>
            <w:instrText xml:space="preserve"> HYPERLINK \l _Toc23562 </w:instrText>
          </w:r>
          <w:r>
            <w:rPr>
              <w:bCs/>
            </w:rPr>
            <w:fldChar w:fldCharType="separate"/>
          </w:r>
          <w:r>
            <w:rPr>
              <w:rFonts w:hint="eastAsia" w:ascii="Times New Roman" w:hAnsi="Times New Roman" w:eastAsia="楷体"/>
              <w:szCs w:val="24"/>
            </w:rPr>
            <w:t>PTA：盘面走势震荡偏强</w:t>
          </w:r>
          <w:r>
            <w:rPr>
              <w:bCs/>
            </w:rPr>
            <w:fldChar w:fldCharType="end"/>
          </w:r>
        </w:p>
        <w:p>
          <w:pPr>
            <w:pStyle w:val="74"/>
            <w:tabs>
              <w:tab w:val="right" w:leader="dot" w:pos="8306"/>
            </w:tabs>
          </w:pPr>
          <w:r>
            <w:rPr>
              <w:bCs/>
            </w:rPr>
            <w:fldChar w:fldCharType="begin"/>
          </w:r>
          <w:r>
            <w:rPr>
              <w:bCs/>
            </w:rPr>
            <w:instrText xml:space="preserve"> HYPERLINK \l _Toc24275 </w:instrText>
          </w:r>
          <w:r>
            <w:rPr>
              <w:bCs/>
            </w:rPr>
            <w:fldChar w:fldCharType="separate"/>
          </w:r>
          <w:r>
            <w:rPr>
              <w:rFonts w:hint="eastAsia" w:ascii="Times New Roman" w:hAnsi="Times New Roman" w:eastAsia="楷体"/>
              <w:szCs w:val="24"/>
            </w:rPr>
            <w:t>乙二醇：到港增多持续累库  短期价格震荡偏弱</w:t>
          </w:r>
          <w:r>
            <w:rPr>
              <w:bCs/>
            </w:rPr>
            <w:fldChar w:fldCharType="end"/>
          </w:r>
        </w:p>
        <w:p>
          <w:pPr>
            <w:pStyle w:val="59"/>
            <w:tabs>
              <w:tab w:val="right" w:leader="dot" w:pos="8306"/>
            </w:tabs>
          </w:pPr>
          <w:r>
            <w:rPr>
              <w:bCs/>
            </w:rPr>
            <w:fldChar w:fldCharType="begin"/>
          </w:r>
          <w:r>
            <w:rPr>
              <w:bCs/>
            </w:rPr>
            <w:instrText xml:space="preserve"> HYPERLINK \l _Toc30331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_Toc1702 </w:instrText>
          </w:r>
          <w:r>
            <w:rPr>
              <w:bCs/>
            </w:rPr>
            <w:fldChar w:fldCharType="separate"/>
          </w:r>
          <w:r>
            <w:rPr>
              <w:rFonts w:hint="eastAsia" w:ascii="楷体" w:hAnsi="楷体" w:eastAsia="楷体"/>
              <w:bCs/>
            </w:rPr>
            <w:t>玉米与淀粉：</w:t>
          </w:r>
          <w:r>
            <w:rPr>
              <w:rFonts w:hint="eastAsia" w:ascii="楷体" w:hAnsi="楷体" w:eastAsia="楷体"/>
            </w:rPr>
            <w:t>继续关注现货走势</w:t>
          </w:r>
          <w:r>
            <w:rPr>
              <w:bCs/>
            </w:rPr>
            <w:fldChar w:fldCharType="end"/>
          </w:r>
        </w:p>
        <w:p>
          <w:pPr>
            <w:pStyle w:val="74"/>
            <w:tabs>
              <w:tab w:val="right" w:leader="dot" w:pos="8306"/>
            </w:tabs>
          </w:pPr>
          <w:r>
            <w:rPr>
              <w:bCs/>
            </w:rPr>
            <w:fldChar w:fldCharType="begin"/>
          </w:r>
          <w:r>
            <w:rPr>
              <w:bCs/>
            </w:rPr>
            <w:instrText xml:space="preserve"> HYPERLINK \l _Toc27434 </w:instrText>
          </w:r>
          <w:r>
            <w:rPr>
              <w:bCs/>
            </w:rPr>
            <w:fldChar w:fldCharType="separate"/>
          </w:r>
          <w:r>
            <w:rPr>
              <w:rFonts w:hint="eastAsia" w:ascii="楷体" w:hAnsi="楷体" w:eastAsia="楷体"/>
              <w:bCs/>
            </w:rPr>
            <w:t>畜禽养殖：生猪期价多有回落</w:t>
          </w:r>
          <w:r>
            <w:rPr>
              <w:bCs/>
            </w:rPr>
            <w:fldChar w:fldCharType="end"/>
          </w:r>
        </w:p>
        <w:p>
          <w:pPr>
            <w:pStyle w:val="74"/>
            <w:tabs>
              <w:tab w:val="right" w:leader="dot" w:pos="8306"/>
            </w:tabs>
          </w:pPr>
          <w:r>
            <w:rPr>
              <w:bCs/>
            </w:rPr>
            <w:fldChar w:fldCharType="begin"/>
          </w:r>
          <w:r>
            <w:rPr>
              <w:bCs/>
            </w:rPr>
            <w:instrText xml:space="preserve"> HYPERLINK \l _Toc28481 </w:instrText>
          </w:r>
          <w:r>
            <w:rPr>
              <w:bCs/>
            </w:rPr>
            <w:fldChar w:fldCharType="separate"/>
          </w:r>
          <w:r>
            <w:rPr>
              <w:rFonts w:hint="eastAsia" w:ascii="楷体" w:hAnsi="楷体" w:eastAsia="楷体"/>
              <w:bCs/>
            </w:rPr>
            <w:t>白糖：涨跌反复，持续观望</w:t>
          </w:r>
          <w:r>
            <w:rPr>
              <w:bCs/>
            </w:rPr>
            <w:fldChar w:fldCharType="end"/>
          </w:r>
        </w:p>
        <w:p>
          <w:pPr>
            <w:pStyle w:val="59"/>
            <w:tabs>
              <w:tab w:val="right" w:leader="dot" w:pos="8306"/>
            </w:tabs>
          </w:pPr>
          <w:r>
            <w:rPr>
              <w:bCs/>
            </w:rPr>
            <w:fldChar w:fldCharType="begin"/>
          </w:r>
          <w:r>
            <w:rPr>
              <w:bCs/>
            </w:rPr>
            <w:instrText xml:space="preserve"> HYPERLINK \l _Toc15366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_Toc16591 </w:instrText>
          </w:r>
          <w:r>
            <w:rPr>
              <w:bCs/>
            </w:rPr>
            <w:fldChar w:fldCharType="separate"/>
          </w:r>
          <w:r>
            <w:rPr>
              <w:rFonts w:hint="eastAsia" w:ascii="Times New Roman" w:hAnsi="Times New Roman" w:eastAsia="楷体"/>
              <w:szCs w:val="24"/>
            </w:rPr>
            <w:t>集运指数（欧线）：安理会通过加沙停火协议，EC上方承压</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777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4131"/>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关注多IF空IM机会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昨日尾盘市场加速调整，沪指下穿144线并破3000点，收于日内最低，技术面承压。</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随着市场逐步进入业绩披露窗口，资金关注焦点或重回基本面验证，市场风格也出现一定转向迹象，关注多IF空IM机会。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3758"/>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4569"/>
      <w:r>
        <w:rPr>
          <w:rFonts w:hint="eastAsia" w:ascii="Times New Roman" w:hAnsi="Times New Roman" w:eastAsia="楷体"/>
          <w:b/>
          <w:color w:val="000000" w:themeColor="text1"/>
          <w:sz w:val="24"/>
          <w:szCs w:val="24"/>
          <w14:textFill>
            <w14:solidFill>
              <w14:schemeClr w14:val="tx1"/>
            </w14:solidFill>
          </w14:textFill>
        </w:rPr>
        <w:t>贵金属：黄金波动率低位运行，贵金属价格小幅上涨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0.19%至517.50元/克，沪银涨0.25%至6369元/千克。CME黄金波动率回落至12.45，低位运行。欧元区3月消费者信心指数终值-14.9，预期及初值为-14.9，2月终值-15.5。美联储沃勒表示，最近的经济数据证明应该推迟或减少今年降息次数，强劲的经济和招聘数据使美联储有时间来继续等待，直到对通胀向2%目标回落更有信心。此前美联储理事库克讲话称，谨慎地逐步放松政策可以确保通胀可持续回归2%，同时努力维持就业市场强劲。周内关注美联储官员公开讲话，以及周五即将公布的PCE通胀数据，美联储降息预期升温，贵金属价格震荡中枢或逐步上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27249"/>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7680"/>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碳酸锂：新能源车零售环比正向增长，期价止跌小幅反弹</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盘初下跌至约10.5万元/吨，接近60日均线支撑，午后小幅反弹收复跌势，07合约收涨0.51%至108400元/吨。3月26日雅保锂辉石招标最终价9372元/吨，含税自提，品位5.77%，对应碳酸锂成本约11万元/吨。据乘联会数据，3月1-24日，国内新能源车市场零售49万辆，同比去年同期增长39%，较上月同期增长84%，今年以来累计零售155万辆，同比增长38%；3月累计零售的新能源车渗透率47%，纯电环比有所改善。生产企业从前期检修中陆续恢复，矿石及碳酸锂进口量较大，下游以刚需采购为主，现货供应相对充足，终端需求回暖。短期供需双增背景下，锂价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32547"/>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短期价格高位僵持，关注CSPT会议</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(1)库存：3月27日，SHFE仓单库存217461吨，增1995吨；LME仓单库存113100吨，减4300吨。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(2)精废价差：3月27日，Mysteel精废价差1796，收窄98。目前价差在合理价差1417之上。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隔夜联储官员沃勒发表偏鹰派言论，他指出在当前经济形势下“仍无需急于”降息，美联储可能需要维持当前利率目标的时间比预期更长，美元指数延续近期强势。产业面，国内库存高位，现货保持较大贴水，市场关注本周四的CSPT会议，是否会带来更多中国冶炼厂减产相关消息。短期价格高位僵持，上下幅度均有限，主波动区间参考71500-73000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19002"/>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库存累积减弱价格上行动力，趋势上维持偏强判断</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宏观情绪持续博弈美联储降息节奏，基本面上看，铝土矿产量减少，氧化铝价格坚挺，成本端提供较强支撑。供应端整体保持稳定，前有部分地 区因停电及技改小幅减产，近期云南地区有消息传出计划复产52万吨，但因近期雨水补充有限旱情明显，预计复产计划打折或拖延。下游需 求消费在节后缓慢修复，进入金三银四仍有旺季消费带动效应，库存上看，铝棒库存去库，铸锭累库，市场现货交易贴水，价格上行至19600后动力不足后再度回落，整体价格走势趋势偏强，建议逢低轻仓试多。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4242"/>
      <w:r>
        <w:rPr>
          <w:rFonts w:hint="eastAsia" w:ascii="楷体" w:hAnsi="楷体" w:eastAsia="楷体"/>
          <w:b/>
          <w:color w:val="000000" w:themeColor="text1"/>
          <w:sz w:val="24"/>
          <w:szCs w:val="24"/>
          <w14:textFill>
            <w14:solidFill>
              <w14:schemeClr w14:val="tx1"/>
            </w14:solidFill>
          </w14:textFill>
        </w:rPr>
        <w:t>锌：锌价走弱探底，建议观望</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扰动多变，海外博弈联储降息，国内持续释放政策利好信号。海外矿山减产增多，精炼锌受上游矿端压制影响预期供给收缩，精矿加工费负反馈，冶炼厂生产维持亏损，海外锌企有减停产消息，镀锌开工环比上行，国内需求有所回升，库存累库但绝对库存水平仍偏低，锌价快速下行下穿60日均线，行情波动较大，建议先观望盘面情绪走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9905"/>
      <w:r>
        <w:rPr>
          <w:rFonts w:hint="eastAsia" w:ascii="楷体" w:hAnsi="楷体" w:eastAsia="楷体"/>
          <w:b/>
          <w:color w:val="000000" w:themeColor="text1"/>
          <w:sz w:val="24"/>
          <w:szCs w:val="24"/>
          <w14:textFill>
            <w14:solidFill>
              <w14:schemeClr w14:val="tx1"/>
            </w14:solidFill>
          </w14:textFill>
        </w:rPr>
        <w:t>镍：溢价回吐，预计震荡偏弱运行</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日镍价从14万/吨上方回落至13万/吨附近，其原因主要在于短期利多出尽，印尼镍矿RKAB扰动及前期宏观利好情绪对盘面的影响逐渐消散，镍价交易逻辑向基本面回归。成本方面，短期MHP及硫酸镍仍将处于阶段性供应紧张状态，因此预计短期价格持稳，电积镍成本支撑犹存。需求方面，受宏观政策提振，3月新能源汽车市场有所回暖，但实际对镍的需求改善程度较有限；不锈钢市场的需求表现不佳，4月或有减产可能。中长期来看，镍市仍处于供应显著过剩格局。综合而言，虽短期成本支撑犹存，但印尼镍矿RKAB审批将继续加快，印尼镍矿供应不确定性为镍带来的溢价将逐渐消退，加上供应过剩格局持续性施加压力，预计短期镍价偏弱震荡运行，下方支撑可参考12.5-12.6万元/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6334"/>
      <w:r>
        <w:rPr>
          <w:rFonts w:hint="eastAsia" w:ascii="楷体" w:hAnsi="楷体" w:eastAsia="楷体"/>
          <w:b/>
          <w:color w:val="000000" w:themeColor="text1"/>
          <w:sz w:val="24"/>
          <w:szCs w:val="24"/>
          <w14:textFill>
            <w14:solidFill>
              <w14:schemeClr w14:val="tx1"/>
            </w14:solidFill>
          </w14:textFill>
        </w:rPr>
        <w:t>不锈钢：基本面偏弱，压制不锈钢价格</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镍矿RKAB审批进度加快，为利空因素。成本端，近期高碳铬铁价格稳中偏强运行，但镍铁价格偏弱运行，据Mysteel调研，本周华南某钢厂采购高镍铁，最新成交先后有940和930元/镍（到厂含税），成交量分别均有数千吨，四月底交期，由于镍矿资源偏紧问题将逐步缓解，加上成交偏弱，镍铁价格存在继续下跌空间，不锈钢成本支撑减弱。需求端，下游消费不振，市场成交多以刚需采购为主，对不锈钢价格带来明显制约。供应端，3月不锈钢厂排产较高，仓单库存增至14.4万吨，刷新历史新高，体现不锈钢供应压力。综合而言，印尼镍矿RKAB审批进度明显加快，加上成本支撑趋弱、需求不佳带来压制、库存压力明显，预计短期不锈钢价格偏弱震荡为主，关注后续钢厂是否减产及需求恢复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600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基本面走弱预期下，盘面或维持偏弱运行</w:t>
      </w:r>
      <w:bookmarkEnd w:id="27"/>
    </w:p>
    <w:p>
      <w:pPr>
        <w:ind w:left="630" w:leftChars="300"/>
        <w:rPr>
          <w:rFonts w:ascii="楷体" w:hAnsi="楷体" w:eastAsia="楷体"/>
          <w:sz w:val="24"/>
          <w:szCs w:val="24"/>
        </w:rPr>
      </w:pPr>
      <w:r>
        <w:rPr>
          <w:rFonts w:hint="eastAsia" w:ascii="楷体" w:hAnsi="楷体" w:eastAsia="楷体"/>
          <w:sz w:val="24"/>
          <w:szCs w:val="24"/>
        </w:rPr>
        <w:t>3月27日，Si2405主力合约延续下行走势，收盘价12165元/吨，较上一收盘价涨跌幅-1.46%。从供应端来看，当前北方开工率维持高位，南方硅企有增有减，整体供应有所增加。从需求端来看，核心需求多晶硅开工率暂未发生较大变化，由于其下游采购有所下降，使得近期多晶硅库存处于持续累库，据SMM数据，库存已突破10万吨。整体而言，当前基本面存在走弱预期，使得近期盘面承压下行，后续要重点关注库存去化情况，昨日期货仓单出现一定程度注销，但持续性仍有待验证，在库存压力未出现大幅缓解之前，预计盘面或仍将偏弱运行。策略上，建议谨慎资金可以暂时观望，激进资金可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9463"/>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1737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短线涨幅过大叠加泰国原料价格下调，橡胶短期或回调整理</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全球天胶产区进入供应淡季，海外低库存促使原料价格坚挺向上，成本端对天胶市场依旧有底部支撑。港口库存方面，目前仍处于历史高位，侧面反映此前关于收储、供应收缩的利好炒作并未促成有效去库，国内天胶供过于求格局未出现根本性改变。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受东南亚现货报价近日走低以及短线涨幅较大技术面上有修正需求等因素影响，沪胶近期大幅下挫。在未出现新的强利多因素提振下，天胶短期或延续回调整理。</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9128"/>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端转弱远端转强，近端转弱一方面在于检修的阶段性回归，另一方面在于印尼配额政策取消和东南亚斋月导致的海外市场需求下滑和国内出口回落。远端偏强在于未来检修不断增多，后续库存将会去化，具体幅度还是要看需求。聚烯烃整体市场需求并不是很好，订单持平偏弱，利润同比更弱，成品库存偏高的情况下难以看到大规模的补库，建议PP短期空单减仓，PE中期参与多单。</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22204"/>
      <w:r>
        <w:rPr>
          <w:rFonts w:hint="eastAsia" w:ascii="楷体" w:hAnsi="楷体" w:eastAsia="楷体"/>
          <w:b/>
          <w:color w:val="000000" w:themeColor="text1"/>
          <w:sz w:val="24"/>
          <w:szCs w:val="24"/>
          <w14:textFill>
            <w14:solidFill>
              <w14:schemeClr w14:val="tx1"/>
            </w14:solidFill>
          </w14:textFill>
        </w:rPr>
        <w:t>玻璃：产业情绪悲观，期现持续负反馈</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27日报道：今日浮法玻璃现货价格1786元/吨，较上一交易日-5元/吨。供给上，截至2024年3月21日，全国浮法玻璃日产量为17.65万吨，比14日+0.63%。库存上，截止到20240321，全国浮法玻璃样本企业总库存6361.4万重箱，环比+83.1万重箱，环比+1.32%，周末产销再度走弱，需求疲软。1-3月玻璃产线整体仍处于复产状态，供给回到历史绝对高位，需求端深加工企业消化速度不及供给增速，现货下行，基差收敛，短期情绪依旧处于期现负反馈的格局中，目前期价已经打到天然气企业成本线以下，在现货没有稳价的情况下，不排除进一步向下测试燃煤企业成本支撑。市场短期情绪偏空，拐点可能要看到供给端出现冷修或者现货端挺价。</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28268"/>
      <w:r>
        <w:rPr>
          <w:rFonts w:hint="eastAsia" w:ascii="楷体" w:hAnsi="楷体" w:eastAsia="楷体"/>
          <w:b/>
          <w:color w:val="000000" w:themeColor="text1"/>
          <w:sz w:val="24"/>
          <w:szCs w:val="24"/>
          <w14:textFill>
            <w14:solidFill>
              <w14:schemeClr w14:val="tx1"/>
            </w14:solidFill>
          </w14:textFill>
        </w:rPr>
        <w:t>纯碱：现货降价预期浓厚，库存加速累库</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今日纯碱现货端稳价，但华中、华北重碱成交价格阴跌50左右，在1850-1900元/吨附近有成交；轻碱补库需求走弱，刚需为主。从供给端来看，隆众资讯3月21日报道：纯碱周产量73.24万吨，跌幅0.10%，变化不大，周内青海地区碱厂提负荷，金山五期短停，预计周产量72-74万吨附近窄幅波动。从库存上看，截止到2024年3月25日，本周国内纯碱厂家总库存82.39万吨，环比上周四涨3.60万吨，涨幅4.57%，，周四预计进一步累库。需求上，周内纯碱待发订单下降到11天左右，排单到月底，新订单接收不温不火，社会库存窄幅增加。消息面上，周内金山化工短停3-5天，大约影响2-3w吨周产量，盘面近强远弱，近月合约走交割逻辑，短期在稳价影响下偏强，氨碱法成本附近震荡；远月09合约移仓为主力，累库预期下，期价继续下移，后市库存压力凸显。</w:t>
      </w:r>
    </w:p>
    <w:p>
      <w:pPr>
        <w:ind w:firstLine="480" w:firstLineChars="200"/>
        <w:rPr>
          <w:rFonts w:ascii="楷体" w:hAnsi="楷体" w:eastAsia="楷体"/>
          <w:bCs/>
          <w:sz w:val="24"/>
          <w:szCs w:val="24"/>
        </w:rPr>
      </w:pPr>
    </w:p>
    <w:p>
      <w:pPr>
        <w:ind w:firstLine="482" w:firstLineChars="200"/>
        <w:outlineLvl w:val="1"/>
        <w:rPr>
          <w:rFonts w:ascii="楷体" w:hAnsi="楷体" w:eastAsia="楷体"/>
          <w:b/>
          <w:sz w:val="24"/>
          <w:szCs w:val="24"/>
        </w:rPr>
      </w:pPr>
      <w:bookmarkStart w:id="34" w:name="_Toc23562"/>
      <w:r>
        <w:rPr>
          <w:rFonts w:hint="eastAsia" w:ascii="Times New Roman" w:hAnsi="Times New Roman" w:eastAsia="楷体"/>
          <w:b/>
          <w:color w:val="000000" w:themeColor="text1"/>
          <w:sz w:val="24"/>
          <w:szCs w:val="24"/>
          <w14:textFill>
            <w14:solidFill>
              <w14:schemeClr w14:val="tx1"/>
            </w14:solidFill>
          </w14:textFill>
        </w:rPr>
        <w:t>PTA：盘面走势震荡偏强</w:t>
      </w:r>
      <w:bookmarkEnd w:id="34"/>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成本端原油及PX方面，EIA库存报告原油累库，短线油价回落。本周PTA装置负荷下调，英力士110万吨恢复，福海创450万吨PTA装置停车检修，至3.21 PTA装置负荷降至78.1%（-2.8%）。后续仍有恒力惠州、逸盛新材料等装置检修。新增产能投产方面，台化150万吨PTA新装置将于3月底投产。聚酯检修装置仍在开启恢复过程中，同时也有个别装置检修。本周聚酯检修装置继续恢复，截至3.21，初步核算国内大陆地区聚酯负荷在90.7%附近。终端来看，江浙终端开工高位维持。综合来看，近期PTA部分装置开启检修，供需格局改善，4月有望去库。 PTA短期走势驱动核心在成本端，4月PX开启检修且PX加工费低位，留意调油需求对PX价格提振。随着原油再度走强，PTA期价震荡偏强。仅供参考。</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4275"/>
      <w:r>
        <w:rPr>
          <w:rFonts w:hint="eastAsia" w:ascii="Times New Roman" w:hAnsi="Times New Roman" w:eastAsia="楷体"/>
          <w:b/>
          <w:color w:val="000000" w:themeColor="text1"/>
          <w:sz w:val="24"/>
          <w:szCs w:val="24"/>
          <w14:textFill>
            <w14:solidFill>
              <w14:schemeClr w14:val="tx1"/>
            </w14:solidFill>
          </w14:textFill>
        </w:rPr>
        <w:t>乙二醇：到港增多持续累库  短期价格震荡偏弱</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需情况，3.25华东主港地区MEG港口库存约91.1万吨附近，环比上期累库5万吨。至3月21日，中国大陆地区乙二醇整体开工负荷在63.98%（-3.43%），镇海炼化、中科炼化停车检修。其中草酸催化加氢法（合成气）制乙二醇开工负荷在56.09%（-0.3%），煤化工装置开工率小幅下滑。 截至3月21日，国内大陆地区聚酯负荷在90.7%（+0.6%），聚酯开工维持。但聚酯工厂采购积极性不高，发货量持续下滑，港口去库困难。终端来看，江浙终端开工继续冲高，截止3.21江浙下游加弹、织造、印染负荷分别在94%（+1%）、83%（+1%）、87%(+0%)。综合来看，市场已经提前交易3-4月前期装置检修利好，近期乙二醇进口到小幅增加及部分煤化工装置检修推迟，3月供需格局偏宽松，短期价格震荡偏弱。仅供参考。</w:t>
      </w: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30331"/>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170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继续关注现货走势</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春节前后国家增储刺激中游贸易商入市化解东北产区的余粮压力，也形成了东北产区相对高价的局面，由此引发定价权的争夺，即东北产区余粮更多转入贸易商手中，会产生仓储和资金成本，抑制现货回落空间，华北产区则余粮压力仍存，后续还有新作小麦上市压力，南方销区则因为内外价差更倾向于选择进口谷物。这种情况类似于2019年，那么中期逻辑的关键在于国内玉米是否存在产需缺口，短期则需要重点留意国家政策和现货供需博弈的发展。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一个月来带动淀粉-玉米价差持续收窄的主要原因有二，其一是行业供需，即行业开机率带动库存持续累积，其二是副产品，受蛋白粕带动副产品价格触底反弹。但后期副产品、原料成本和行业供需三大方面均存在较大的不确定性，而淀粉现货价差与盘面生产利润短期或带来一定支撑。综上所述，我们倾向于认为淀粉-玉米价差或趋于区间震荡，方向尚不明朗。综上所述，单边维持谨慎看多观点，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27434"/>
      <w:r>
        <w:rPr>
          <w:rFonts w:hint="eastAsia" w:ascii="楷体" w:hAnsi="楷体" w:eastAsia="楷体"/>
          <w:b/>
          <w:bCs/>
          <w:color w:val="000000" w:themeColor="text1"/>
          <w14:textFill>
            <w14:solidFill>
              <w14:schemeClr w14:val="tx1"/>
            </w14:solidFill>
          </w14:textFill>
        </w:rPr>
        <w:t>畜禽养殖：生猪期价多有回落</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供需端角度看，市场基于行业产能去化即能繁母猪存栏持续下滑合理预期远期趋于改善，这体现在期价远月升水结构上，市场分歧更多在于供需改善的幅度，这对应后期现货表现。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从饲料成本角度看，随后春节前后饲料原料即豆粕和玉米均有所上涨，但较去年同期仍有较大幅度下滑，考虑到养殖利润同比改善，在一定程度上反映供需改善的预期，需要特别留意后期饲料原料价格走势。综合来看，中期行业供需与饲料成本均存在不确定性，且期价升水在一定程度上反映市场看涨预期，建议更多关注短期市场节奏，这直观体现在现货走势上。据此我们维持中性观点，建议投资者观望为宜，可根据市场节奏和现货走势参与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上涨持续性存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pStyle w:val="93"/>
        <w:spacing w:before="60" w:beforeAutospacing="0" w:after="60" w:afterAutospacing="0"/>
        <w:ind w:left="420" w:leftChars="200"/>
        <w:outlineLvl w:val="1"/>
        <w:rPr>
          <w:rFonts w:ascii="楷体" w:hAnsi="楷体" w:eastAsia="楷体"/>
          <w:b/>
        </w:rPr>
      </w:pPr>
      <w:bookmarkStart w:id="39" w:name="_Toc28481"/>
      <w:r>
        <w:rPr>
          <w:rFonts w:hint="eastAsia" w:ascii="楷体" w:hAnsi="楷体" w:eastAsia="楷体"/>
          <w:b/>
          <w:bCs/>
          <w:color w:val="000000" w:themeColor="text1"/>
          <w14:textFill>
            <w14:solidFill>
              <w14:schemeClr w14:val="tx1"/>
            </w14:solidFill>
          </w14:textFill>
        </w:rPr>
        <w:t>白糖：涨跌反复，持续观望</w:t>
      </w:r>
      <w:bookmarkEnd w:id="39"/>
    </w:p>
    <w:p>
      <w:pPr>
        <w:pStyle w:val="93"/>
        <w:spacing w:before="0" w:beforeAutospacing="0" w:after="60" w:afterAutospacing="0"/>
        <w:ind w:left="630" w:leftChars="300"/>
        <w:rPr>
          <w:rFonts w:ascii="楷体" w:hAnsi="楷体" w:eastAsia="楷体"/>
        </w:rPr>
      </w:pPr>
      <w:r>
        <w:rPr>
          <w:rFonts w:hint="eastAsia" w:ascii="楷体" w:hAnsi="楷体" w:eastAsia="楷体"/>
        </w:rPr>
        <w:t>据嘉利高报告，美国宣布2024年关税配额增加12.5万吨，由于原美国最大食糖供应国墨西哥作物表现不佳，无法供应足够的食糖，今年巴西获得最大配额，巴西糖市表现进一步影响国际市场。在巴西天气原因导致预估产量下调、释放多头信号的同时，StoneX预估全球食糖过剩量高于预期，市场多空因素交织，价格趋势不明朗。国内市场方面，继昨日日盘下跌后，昨日夜盘重新回调，郑糖2405、2409、2501合约涨幅分别为0.03%、0.13%和0.23%，2405合约未能重回6500位置。昨日外盘白砂糖05合约涨幅1.9%，预计今日郑糖期价跟随上涨。</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0" w:name="_Toc15366"/>
      <w:r>
        <w:rPr>
          <w:rFonts w:hint="eastAsia" w:ascii="Times New Roman" w:hAnsi="Times New Roman" w:eastAsia="楷体"/>
          <w:b/>
          <w:color w:val="823C0B"/>
          <w:sz w:val="30"/>
          <w:szCs w:val="30"/>
        </w:rPr>
        <w:t>[指数]</w:t>
      </w:r>
      <w:bookmarkEnd w:id="40"/>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1" w:name="_Toc16591"/>
      <w:r>
        <w:rPr>
          <w:rFonts w:hint="eastAsia" w:ascii="Times New Roman" w:hAnsi="Times New Roman" w:eastAsia="楷体"/>
          <w:b/>
          <w:color w:val="000000" w:themeColor="text1"/>
          <w:sz w:val="24"/>
          <w:szCs w:val="24"/>
          <w14:textFill>
            <w14:solidFill>
              <w14:schemeClr w14:val="tx1"/>
            </w14:solidFill>
          </w14:textFill>
        </w:rPr>
        <w:t>集运指数（欧线）：安理会通过加沙停火协议，EC上方承压</w:t>
      </w:r>
      <w:bookmarkEnd w:id="41"/>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周一盘后SCFIS欧线显示为2153.34点回落11.6%带动基差大幅收敛；跌幅放大7个百分点，环比上期回落超280点，下跌速度超预期。红海局势方面，安理会通过决议要求加沙停火，巴以局势或将出现转机，受此影响，空头情绪回归。</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需求方面，据欧盟统计局公布的数据显示，欧元区3月制造业PMI初值45.7，预期47，2月终值46.5，初值46.1，表现逊于预期，显示欧洲工业还处于筑底阶段。</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亚欧航线已经基本适应了地缘紧张局势的影响，供求平衡情况在近期成为影响运价走势的主要因素。上周期价大涨已部分反映即期运价表现，实际结算价不如预期将对期货打压，预计盘问将继续保持震荡，投资者交易保持谨慎。</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19667"/>
      <w:bookmarkStart w:id="43" w:name="_Toc12779"/>
      <w:bookmarkStart w:id="44" w:name="_Toc71212556"/>
      <w:bookmarkStart w:id="45" w:name="_Toc72481108"/>
      <w:bookmarkStart w:id="46" w:name="_Toc98426751"/>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2024年3月28日星期四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453820"/>
    <w:rsid w:val="2C6C12B9"/>
    <w:rsid w:val="2CA93C52"/>
    <w:rsid w:val="2D912E3A"/>
    <w:rsid w:val="2DC02C2B"/>
    <w:rsid w:val="2DE440F7"/>
    <w:rsid w:val="2FA14A50"/>
    <w:rsid w:val="2FA70F17"/>
    <w:rsid w:val="32951C0D"/>
    <w:rsid w:val="33CE5AF4"/>
    <w:rsid w:val="340E7198"/>
    <w:rsid w:val="34A75784"/>
    <w:rsid w:val="3581551C"/>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A6F6249"/>
    <w:rsid w:val="4AB74C38"/>
    <w:rsid w:val="4B14426D"/>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7F46FBE"/>
    <w:rsid w:val="58042686"/>
    <w:rsid w:val="58246D5D"/>
    <w:rsid w:val="58EC5960"/>
    <w:rsid w:val="59151C86"/>
    <w:rsid w:val="59C52328"/>
    <w:rsid w:val="5AD37D8A"/>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2024-03-28T02:16:24Z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