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5" w:name="_GoBack"/>
          <w:bookmarkEnd w:id="45"/>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_Toc30389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_Toc6164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_Toc16752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_Toc2591 </w:instrText>
          </w:r>
          <w:r>
            <w:rPr>
              <w:bCs/>
            </w:rPr>
            <w:fldChar w:fldCharType="separate"/>
          </w:r>
          <w:r>
            <w:rPr>
              <w:rFonts w:hint="eastAsia" w:ascii="Times New Roman" w:hAnsi="Times New Roman" w:eastAsia="楷体"/>
              <w:szCs w:val="24"/>
            </w:rPr>
            <w:t>贵金属：美元指数上涨，贵金属价格区间震荡</w:t>
          </w:r>
          <w:r>
            <w:rPr>
              <w:bCs/>
            </w:rPr>
            <w:fldChar w:fldCharType="end"/>
          </w:r>
        </w:p>
        <w:p>
          <w:pPr>
            <w:pStyle w:val="59"/>
            <w:tabs>
              <w:tab w:val="right" w:leader="dot" w:pos="8306"/>
            </w:tabs>
          </w:pPr>
          <w:r>
            <w:rPr>
              <w:bCs/>
            </w:rPr>
            <w:fldChar w:fldCharType="begin"/>
          </w:r>
          <w:r>
            <w:rPr>
              <w:bCs/>
            </w:rPr>
            <w:instrText xml:space="preserve"> HYPERLINK \l _Toc23097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_Toc16937 </w:instrText>
          </w:r>
          <w:r>
            <w:rPr>
              <w:bCs/>
            </w:rPr>
            <w:fldChar w:fldCharType="separate"/>
          </w:r>
          <w:r>
            <w:rPr>
              <w:rFonts w:hint="eastAsia" w:ascii="楷体" w:hAnsi="楷体" w:eastAsia="楷体"/>
              <w:szCs w:val="24"/>
            </w:rPr>
            <w:t>碳酸锂：现货价格走平，期价小幅上涨</w:t>
          </w:r>
          <w:r>
            <w:rPr>
              <w:bCs/>
            </w:rPr>
            <w:fldChar w:fldCharType="end"/>
          </w:r>
        </w:p>
        <w:p>
          <w:pPr>
            <w:pStyle w:val="74"/>
            <w:tabs>
              <w:tab w:val="right" w:leader="dot" w:pos="8306"/>
            </w:tabs>
          </w:pPr>
          <w:r>
            <w:rPr>
              <w:bCs/>
            </w:rPr>
            <w:fldChar w:fldCharType="begin"/>
          </w:r>
          <w:r>
            <w:rPr>
              <w:bCs/>
            </w:rPr>
            <w:instrText xml:space="preserve"> HYPERLINK \l _Toc15759 </w:instrText>
          </w:r>
          <w:r>
            <w:rPr>
              <w:bCs/>
            </w:rPr>
            <w:fldChar w:fldCharType="separate"/>
          </w:r>
          <w:r>
            <w:rPr>
              <w:rFonts w:hint="eastAsia" w:ascii="楷体" w:hAnsi="楷体" w:eastAsia="楷体"/>
              <w:szCs w:val="24"/>
            </w:rPr>
            <w:t>铜：上涨态势难以持续</w:t>
          </w:r>
          <w:r>
            <w:rPr>
              <w:bCs/>
            </w:rPr>
            <w:fldChar w:fldCharType="end"/>
          </w:r>
        </w:p>
        <w:p>
          <w:pPr>
            <w:pStyle w:val="74"/>
            <w:tabs>
              <w:tab w:val="right" w:leader="dot" w:pos="8306"/>
            </w:tabs>
          </w:pPr>
          <w:r>
            <w:rPr>
              <w:bCs/>
            </w:rPr>
            <w:fldChar w:fldCharType="begin"/>
          </w:r>
          <w:r>
            <w:rPr>
              <w:bCs/>
            </w:rPr>
            <w:instrText xml:space="preserve"> HYPERLINK \l _Toc15854 </w:instrText>
          </w:r>
          <w:r>
            <w:rPr>
              <w:bCs/>
            </w:rPr>
            <w:fldChar w:fldCharType="separate"/>
          </w:r>
          <w:r>
            <w:rPr>
              <w:rFonts w:hint="eastAsia" w:ascii="楷体" w:hAnsi="楷体" w:eastAsia="楷体"/>
              <w:szCs w:val="24"/>
            </w:rPr>
            <w:t>铝：铝价趋势偏多看待</w:t>
          </w:r>
          <w:r>
            <w:rPr>
              <w:bCs/>
            </w:rPr>
            <w:fldChar w:fldCharType="end"/>
          </w:r>
        </w:p>
        <w:p>
          <w:pPr>
            <w:pStyle w:val="74"/>
            <w:tabs>
              <w:tab w:val="right" w:leader="dot" w:pos="8306"/>
            </w:tabs>
          </w:pPr>
          <w:r>
            <w:rPr>
              <w:bCs/>
            </w:rPr>
            <w:fldChar w:fldCharType="begin"/>
          </w:r>
          <w:r>
            <w:rPr>
              <w:bCs/>
            </w:rPr>
            <w:instrText xml:space="preserve"> HYPERLINK \l _Toc145 </w:instrText>
          </w:r>
          <w:r>
            <w:rPr>
              <w:bCs/>
            </w:rPr>
            <w:fldChar w:fldCharType="separate"/>
          </w:r>
          <w:r>
            <w:rPr>
              <w:rFonts w:hint="eastAsia" w:ascii="楷体" w:hAnsi="楷体" w:eastAsia="楷体"/>
              <w:szCs w:val="24"/>
            </w:rPr>
            <w:t>锌：锌价回调未结束，建议观望</w:t>
          </w:r>
          <w:r>
            <w:rPr>
              <w:bCs/>
            </w:rPr>
            <w:fldChar w:fldCharType="end"/>
          </w:r>
        </w:p>
        <w:p>
          <w:pPr>
            <w:pStyle w:val="74"/>
            <w:tabs>
              <w:tab w:val="right" w:leader="dot" w:pos="8306"/>
            </w:tabs>
          </w:pPr>
          <w:r>
            <w:rPr>
              <w:bCs/>
            </w:rPr>
            <w:fldChar w:fldCharType="begin"/>
          </w:r>
          <w:r>
            <w:rPr>
              <w:bCs/>
            </w:rPr>
            <w:instrText xml:space="preserve"> HYPERLINK \l _Toc23319 </w:instrText>
          </w:r>
          <w:r>
            <w:rPr>
              <w:bCs/>
            </w:rPr>
            <w:fldChar w:fldCharType="separate"/>
          </w:r>
          <w:r>
            <w:rPr>
              <w:rFonts w:hint="eastAsia" w:ascii="楷体" w:hAnsi="楷体" w:eastAsia="楷体"/>
              <w:szCs w:val="24"/>
            </w:rPr>
            <w:t>镍：印尼镍矿扰动弱化，价格或偏弱震荡</w:t>
          </w:r>
          <w:r>
            <w:rPr>
              <w:bCs/>
            </w:rPr>
            <w:fldChar w:fldCharType="end"/>
          </w:r>
        </w:p>
        <w:p>
          <w:pPr>
            <w:pStyle w:val="74"/>
            <w:tabs>
              <w:tab w:val="right" w:leader="dot" w:pos="8306"/>
            </w:tabs>
          </w:pPr>
          <w:r>
            <w:rPr>
              <w:bCs/>
            </w:rPr>
            <w:fldChar w:fldCharType="begin"/>
          </w:r>
          <w:r>
            <w:rPr>
              <w:bCs/>
            </w:rPr>
            <w:instrText xml:space="preserve"> HYPERLINK \l _Toc23330 </w:instrText>
          </w:r>
          <w:r>
            <w:rPr>
              <w:bCs/>
            </w:rPr>
            <w:fldChar w:fldCharType="separate"/>
          </w:r>
          <w:r>
            <w:rPr>
              <w:rFonts w:hint="eastAsia" w:ascii="楷体" w:hAnsi="楷体" w:eastAsia="楷体"/>
              <w:szCs w:val="24"/>
            </w:rPr>
            <w:t>不锈钢：需求表现不佳，不锈钢价承压运行</w:t>
          </w:r>
          <w:r>
            <w:rPr>
              <w:bCs/>
            </w:rPr>
            <w:fldChar w:fldCharType="end"/>
          </w:r>
        </w:p>
        <w:p>
          <w:pPr>
            <w:pStyle w:val="74"/>
            <w:tabs>
              <w:tab w:val="right" w:leader="dot" w:pos="8306"/>
            </w:tabs>
          </w:pPr>
          <w:r>
            <w:rPr>
              <w:bCs/>
            </w:rPr>
            <w:fldChar w:fldCharType="begin"/>
          </w:r>
          <w:r>
            <w:rPr>
              <w:bCs/>
            </w:rPr>
            <w:instrText xml:space="preserve"> HYPERLINK \l _Toc1884 </w:instrText>
          </w:r>
          <w:r>
            <w:rPr>
              <w:bCs/>
            </w:rPr>
            <w:fldChar w:fldCharType="separate"/>
          </w:r>
          <w:r>
            <w:rPr>
              <w:rFonts w:hint="eastAsia" w:ascii="楷体" w:hAnsi="楷体" w:eastAsia="楷体"/>
              <w:szCs w:val="24"/>
            </w:rPr>
            <w:t>工业硅：市场情绪依旧偏弱，盘面或仍将承压运行</w:t>
          </w:r>
          <w:r>
            <w:rPr>
              <w:bCs/>
            </w:rPr>
            <w:fldChar w:fldCharType="end"/>
          </w:r>
        </w:p>
        <w:p>
          <w:pPr>
            <w:pStyle w:val="59"/>
            <w:tabs>
              <w:tab w:val="right" w:leader="dot" w:pos="8306"/>
            </w:tabs>
          </w:pPr>
          <w:r>
            <w:rPr>
              <w:bCs/>
            </w:rPr>
            <w:fldChar w:fldCharType="begin"/>
          </w:r>
          <w:r>
            <w:rPr>
              <w:bCs/>
            </w:rPr>
            <w:instrText xml:space="preserve"> HYPERLINK \l _Toc11282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_Toc30319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短线涨幅较大 天胶回调整理</w:t>
          </w:r>
          <w:r>
            <w:rPr>
              <w:bCs/>
            </w:rPr>
            <w:fldChar w:fldCharType="end"/>
          </w:r>
        </w:p>
        <w:p>
          <w:pPr>
            <w:pStyle w:val="74"/>
            <w:tabs>
              <w:tab w:val="right" w:leader="dot" w:pos="8306"/>
            </w:tabs>
          </w:pPr>
          <w:r>
            <w:rPr>
              <w:bCs/>
            </w:rPr>
            <w:fldChar w:fldCharType="begin"/>
          </w:r>
          <w:r>
            <w:rPr>
              <w:bCs/>
            </w:rPr>
            <w:instrText xml:space="preserve"> HYPERLINK \l _Toc4041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_Toc13465 </w:instrText>
          </w:r>
          <w:r>
            <w:rPr>
              <w:bCs/>
            </w:rPr>
            <w:fldChar w:fldCharType="separate"/>
          </w:r>
          <w:r>
            <w:rPr>
              <w:rFonts w:hint="eastAsia" w:ascii="楷体" w:hAnsi="楷体" w:eastAsia="楷体"/>
              <w:szCs w:val="24"/>
            </w:rPr>
            <w:t>玻璃：累库幅度趋缓，进入震荡行情</w:t>
          </w:r>
          <w:r>
            <w:rPr>
              <w:bCs/>
            </w:rPr>
            <w:fldChar w:fldCharType="end"/>
          </w:r>
        </w:p>
        <w:p>
          <w:pPr>
            <w:pStyle w:val="74"/>
            <w:tabs>
              <w:tab w:val="right" w:leader="dot" w:pos="8306"/>
            </w:tabs>
          </w:pPr>
          <w:r>
            <w:rPr>
              <w:bCs/>
            </w:rPr>
            <w:fldChar w:fldCharType="begin"/>
          </w:r>
          <w:r>
            <w:rPr>
              <w:bCs/>
            </w:rPr>
            <w:instrText xml:space="preserve"> HYPERLINK \l _Toc9473 </w:instrText>
          </w:r>
          <w:r>
            <w:rPr>
              <w:bCs/>
            </w:rPr>
            <w:fldChar w:fldCharType="separate"/>
          </w:r>
          <w:r>
            <w:rPr>
              <w:rFonts w:hint="eastAsia" w:ascii="楷体" w:hAnsi="楷体" w:eastAsia="楷体"/>
              <w:szCs w:val="24"/>
            </w:rPr>
            <w:t>纯碱：现货稳价期，宽幅震荡</w:t>
          </w:r>
          <w:r>
            <w:rPr>
              <w:bCs/>
            </w:rPr>
            <w:fldChar w:fldCharType="end"/>
          </w:r>
        </w:p>
        <w:p>
          <w:pPr>
            <w:pStyle w:val="59"/>
            <w:tabs>
              <w:tab w:val="right" w:leader="dot" w:pos="8306"/>
            </w:tabs>
          </w:pPr>
          <w:r>
            <w:rPr>
              <w:bCs/>
            </w:rPr>
            <w:fldChar w:fldCharType="begin"/>
          </w:r>
          <w:r>
            <w:rPr>
              <w:bCs/>
            </w:rPr>
            <w:instrText xml:space="preserve"> HYPERLINK \l _Toc25330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_Toc14479 </w:instrText>
          </w:r>
          <w:r>
            <w:rPr>
              <w:bCs/>
            </w:rPr>
            <w:fldChar w:fldCharType="separate"/>
          </w:r>
          <w:r>
            <w:rPr>
              <w:rFonts w:hint="eastAsia" w:ascii="楷体" w:hAnsi="楷体" w:eastAsia="楷体"/>
              <w:bCs/>
            </w:rPr>
            <w:t>玉米与淀粉：</w:t>
          </w:r>
          <w:r>
            <w:rPr>
              <w:rFonts w:hint="eastAsia" w:ascii="楷体" w:hAnsi="楷体" w:eastAsia="楷体"/>
            </w:rPr>
            <w:t>期价继续弱势震荡</w:t>
          </w:r>
          <w:r>
            <w:rPr>
              <w:bCs/>
            </w:rPr>
            <w:fldChar w:fldCharType="end"/>
          </w:r>
        </w:p>
        <w:p>
          <w:pPr>
            <w:pStyle w:val="74"/>
            <w:tabs>
              <w:tab w:val="right" w:leader="dot" w:pos="8306"/>
            </w:tabs>
          </w:pPr>
          <w:r>
            <w:rPr>
              <w:bCs/>
            </w:rPr>
            <w:fldChar w:fldCharType="begin"/>
          </w:r>
          <w:r>
            <w:rPr>
              <w:bCs/>
            </w:rPr>
            <w:instrText xml:space="preserve"> HYPERLINK \l _Toc4759 </w:instrText>
          </w:r>
          <w:r>
            <w:rPr>
              <w:bCs/>
            </w:rPr>
            <w:fldChar w:fldCharType="separate"/>
          </w:r>
          <w:r>
            <w:rPr>
              <w:rFonts w:hint="eastAsia" w:ascii="楷体" w:hAnsi="楷体" w:eastAsia="楷体"/>
              <w:bCs/>
            </w:rPr>
            <w:t>畜禽养殖：生猪期价尾盘回落</w:t>
          </w:r>
          <w:r>
            <w:rPr>
              <w:bCs/>
            </w:rPr>
            <w:fldChar w:fldCharType="end"/>
          </w:r>
        </w:p>
        <w:p>
          <w:pPr>
            <w:pStyle w:val="74"/>
            <w:tabs>
              <w:tab w:val="right" w:leader="dot" w:pos="8306"/>
            </w:tabs>
          </w:pPr>
          <w:r>
            <w:rPr>
              <w:bCs/>
            </w:rPr>
            <w:fldChar w:fldCharType="begin"/>
          </w:r>
          <w:r>
            <w:rPr>
              <w:bCs/>
            </w:rPr>
            <w:instrText xml:space="preserve"> HYPERLINK \l _Toc6230 </w:instrText>
          </w:r>
          <w:r>
            <w:rPr>
              <w:bCs/>
            </w:rPr>
            <w:fldChar w:fldCharType="separate"/>
          </w:r>
          <w:r>
            <w:rPr>
              <w:rFonts w:hint="eastAsia" w:ascii="楷体" w:hAnsi="楷体" w:eastAsia="楷体"/>
              <w:bCs/>
            </w:rPr>
            <w:t>白糖：下有支撑，上方承压</w:t>
          </w:r>
          <w:r>
            <w:rPr>
              <w:bCs/>
            </w:rPr>
            <w:fldChar w:fldCharType="end"/>
          </w:r>
        </w:p>
        <w:p>
          <w:pPr>
            <w:pStyle w:val="59"/>
            <w:tabs>
              <w:tab w:val="right" w:leader="dot" w:pos="8306"/>
            </w:tabs>
          </w:pPr>
          <w:r>
            <w:rPr>
              <w:bCs/>
            </w:rPr>
            <w:fldChar w:fldCharType="begin"/>
          </w:r>
          <w:r>
            <w:rPr>
              <w:bCs/>
            </w:rPr>
            <w:instrText xml:space="preserve"> HYPERLINK \l _Toc7753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_Toc3787 </w:instrText>
          </w:r>
          <w:r>
            <w:rPr>
              <w:bCs/>
            </w:rPr>
            <w:fldChar w:fldCharType="separate"/>
          </w:r>
          <w:r>
            <w:rPr>
              <w:rFonts w:hint="eastAsia" w:ascii="Times New Roman" w:hAnsi="Times New Roman" w:eastAsia="楷体"/>
              <w:szCs w:val="24"/>
            </w:rPr>
            <w:t>集运指数（欧线）：临近4月基差修复需求急切，欧元区PMI逊于预期</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38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616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国内经济基本面仍处于温和复苏的状态，市场风险偏好不断回升。产业政策与事件催化不断，监管层也在不断发力，确保市场没有过度向下风险。但市场前期反弹累计了一定的涨幅，短期有兑现收益的诉求，近期指数对3089点的两次冲击都无功而返，也显示上方平台压力仍较大。大盘阶段内还将反复，需在过程中实现不断换手，整体处于震荡的格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675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91"/>
      <w:r>
        <w:rPr>
          <w:rFonts w:hint="eastAsia" w:ascii="Times New Roman" w:hAnsi="Times New Roman" w:eastAsia="楷体"/>
          <w:b/>
          <w:color w:val="000000" w:themeColor="text1"/>
          <w:sz w:val="24"/>
          <w:szCs w:val="24"/>
          <w14:textFill>
            <w14:solidFill>
              <w14:schemeClr w14:val="tx1"/>
            </w14:solidFill>
          </w14:textFill>
        </w:rPr>
        <w:t>贵金属：美元指数上涨，贵金属价格区间震荡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0.58%至104.01，沪金涨0.15%至511.52元/克，沪银跌1.14%至6341元/千克。美国截至3月16日当周初请失业金人数21.0万人，预期21.5万人，前值20.9万人。英国央行连续第五次维持基准利率在5.25%不变，符合市场预期。英国央行行长贝利表示，尚未达到降息的时机。瑞士央行意外宣布降息，将关键政策利率下调25个基点，从1.75%降至1.5%。CME Fedwatch模型由外盘联邦基金利率期货价格反推的美联储利率预测显示，6月降息25bp几率升至65.8%，降息50bp几率为6.3%；直至7月累计降息25bp几率47.0%，累计降息50bp几率35.8%，累计降息75bp几率3.1%。海外降息预期升温，贵金属价格受此支撑或维持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2309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693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碳酸锂：现货价格走平，期价小幅上涨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走平，期价小幅高开后横盘运行，07合约收涨1.34%至117350元/吨。国内2月碳酸锂进口量11590.05吨，环比增11.4%，1月前值为10403.76吨。2月国内锂精矿进口量约297830吨，环比下降49%，同比下降5%，或主要受到锂盐生产企业原料端去库、春节放假等影响。智利2月出口至国内锂盐量16058吨，环比增63.5%，同比增68.3%，1月前值为9819吨，此部分近期到港，以及3月仓单注销或为供应贡献增量。下游需求小幅回暖，短期内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5759"/>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上涨态势难以持续</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(1)宏观：美国3月Markit制造业PMI初值52.5，创21个月新高，预期51.8，前值52.2。美国3月Markit服务业PMI初值51.7，连续第二个月下滑，创3个月新低，预期52，前值52.3。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(2)库存：3月21日，SHFE仓单库存206990吨，增1448吨；LME仓单库存111325吨，减1000吨。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(3)精废价差：3月21日，Mysteel精废价差2516，扩张238。目前价差在合理价差1429之上。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制造业及就业数据整体仍保持韧性，联储降息条件暂时仍不具备，降息预期仍有反复调整可能性，无法给予铜价持续性驱动力。现实来看，需求恢复缓慢，库存压力较大，现货维持贴水，也成为短期价格继续推涨的阻力。近期价格连续上行后多空博弈加剧，价格波动或加大，建议逢高参与卖出保值。</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1585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铝价趋势偏多看待</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海外降息预期及国内稳中向好的政策环境中表现为利多。供应端有铝土矿产量走低，氧化铝价格坚挺，成本端支撑抬升，云南计划复产52万吨，目前铸锭社库仍在累积，需求进入旺季提振消费，但改善程度仍待证伪，沪铝价格表现坚挺站稳前高，趋势上仍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45"/>
      <w:r>
        <w:rPr>
          <w:rFonts w:hint="eastAsia" w:ascii="楷体" w:hAnsi="楷体" w:eastAsia="楷体"/>
          <w:b/>
          <w:color w:val="000000" w:themeColor="text1"/>
          <w:sz w:val="24"/>
          <w:szCs w:val="24"/>
          <w14:textFill>
            <w14:solidFill>
              <w14:schemeClr w14:val="tx1"/>
            </w14:solidFill>
          </w14:textFill>
        </w:rPr>
        <w:t>锌：锌价回调未结束，建议观望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保持偏多，海外再出矿端关停消息，国内矿端供应偏紧，随着加工费不持续走弱，部分炼厂利润倒挂，目前多地炼厂计划检修，3月产量或环比走弱，下游消费来看开工率逐渐恢复，但较去年同期水平表现下降。进口锌补充窗口打开，少量低价进口货源已进入市场,全球库存仍维持偏低水平。锌价测试前高承压，短期回调仍未结束，建议观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3319"/>
      <w:r>
        <w:rPr>
          <w:rFonts w:hint="eastAsia" w:ascii="楷体" w:hAnsi="楷体" w:eastAsia="楷体"/>
          <w:b/>
          <w:color w:val="000000" w:themeColor="text1"/>
          <w:sz w:val="24"/>
          <w:szCs w:val="24"/>
          <w14:textFill>
            <w14:solidFill>
              <w14:schemeClr w14:val="tx1"/>
            </w14:solidFill>
          </w14:textFill>
        </w:rPr>
        <w:t>镍：印尼镍矿扰动弱化，价格或偏弱震荡</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鲍威尔发言被市场解读偏鸽派，宏观情绪偏多。矿端扰动方面，周二印尼官员表示政府已批准107家矿商的镍矿生产配额1.5262亿吨，表明印尼镍矿审批进度加快，矿端供应担忧逻辑将减弱。成本方面，中间品及硫酸镍处于阶段性供需偏紧局势，因此价格偏强运行，镍价成本支撑较强。供需方面，镍供应显著过剩格局持续，社会库存维持累库，镍仍处于中长期下行通道，近期精炼镍下游成交较冷清。综合而言，预计宏观情绪提振有限，印尼镍矿扰动对镍价的影响弱化，或使镍价回吐部分溢价，预计短期价格偏弱震荡，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3330"/>
      <w:r>
        <w:rPr>
          <w:rFonts w:hint="eastAsia" w:ascii="楷体" w:hAnsi="楷体" w:eastAsia="楷体"/>
          <w:b/>
          <w:color w:val="000000" w:themeColor="text1"/>
          <w:sz w:val="24"/>
          <w:szCs w:val="24"/>
          <w14:textFill>
            <w14:solidFill>
              <w14:schemeClr w14:val="tx1"/>
            </w14:solidFill>
          </w14:textFill>
        </w:rPr>
        <w:t>不锈钢：需求表现不佳，不锈钢价承压运行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周二印尼官员表示政府已批准107家矿商的镍矿生产配额1.5262亿吨，表明印尼镍矿审批进度加快，矿端供应担忧逻辑将减弱。原料端，近日高碳铬铁价格上涨，加上短期镍矿供应维持偏紧，短期镍矿及镍铁价格大幅下跌可能性不大，Mysteel数据显示304冷轧外购高镍铁工艺冶炼成本为13568元/吨。供需面，不锈钢厂陆续复产，据Mysteel调研，3月300系不锈钢排产或高达168万吨，环比增加26.8%，而下游成交以刚需采购为主，需求表现不佳，对不锈钢价格带来明显制约。综合而言，不锈钢成本支撑犹存，印尼镍矿RKAB审批加快及供增需弱格局下价格承压运行，持续关注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88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市场情绪依旧偏弱，盘面或仍将承压运行</w:t>
      </w:r>
      <w:bookmarkEnd w:id="27"/>
    </w:p>
    <w:p>
      <w:pPr>
        <w:ind w:left="630" w:leftChars="300"/>
        <w:rPr>
          <w:rFonts w:ascii="楷体" w:hAnsi="楷体" w:eastAsia="楷体"/>
          <w:sz w:val="24"/>
          <w:szCs w:val="24"/>
        </w:rPr>
      </w:pPr>
      <w:r>
        <w:rPr>
          <w:rFonts w:hint="eastAsia" w:ascii="楷体" w:hAnsi="楷体" w:eastAsia="楷体"/>
          <w:sz w:val="24"/>
          <w:szCs w:val="24"/>
        </w:rPr>
        <w:t>3月21日，Si2405主力合约呈震荡走势，收盘价12670元/吨，较上一收盘价涨跌幅-0.16%。近期，现货价格持续下跌，但下游客户观望情绪浓厚，市场成交量并未出现明显增加，维持按需采购节奏。整体来看，市场情绪依旧偏弱，目前库存压力并未得到有效缓解，预计盘面或仍将承压运行。策略上，建议以逢高做空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1282"/>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3031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短线涨幅较大 天胶回调整理</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但在短线大幅上涨后，在新的利好出现前或回调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4041"/>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偏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3465"/>
      <w:r>
        <w:rPr>
          <w:rFonts w:hint="eastAsia" w:ascii="楷体" w:hAnsi="楷体" w:eastAsia="楷体"/>
          <w:b/>
          <w:color w:val="000000" w:themeColor="text1"/>
          <w:sz w:val="24"/>
          <w:szCs w:val="24"/>
          <w14:textFill>
            <w14:solidFill>
              <w14:schemeClr w14:val="tx1"/>
            </w14:solidFill>
          </w14:textFill>
        </w:rPr>
        <w:t>玻璃：累库幅度趋缓，进入震荡行情</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21日报道：今日浮法玻璃现货价格1850元/吨，较上一交易日-17元/吨。供给上，截至2024年3月21日，全国浮法玻璃日产量为17.65万吨，比14日+0.63%。库存上，截止到20240321，全国浮法玻璃样本企业总库存6361.4万重箱，环比+83.1万重箱，环比+1.32%，本周浮法玻璃日度平均产销率与上周相比+15.9个百分点，需求环比走强，累库速度放缓。短期在高供给下，现货仍有有压力，但期价到达1500-1550天然气企业成本附近进入震荡行情，后市从季节性来看，深加工企业库存较低，随着复产的进行有补库需求，下周重点关注玻璃日度产销情况，短线进入震荡期。</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9473"/>
      <w:r>
        <w:rPr>
          <w:rFonts w:hint="eastAsia" w:ascii="楷体" w:hAnsi="楷体" w:eastAsia="楷体"/>
          <w:b/>
          <w:color w:val="000000" w:themeColor="text1"/>
          <w:sz w:val="24"/>
          <w:szCs w:val="24"/>
          <w14:textFill>
            <w14:solidFill>
              <w14:schemeClr w14:val="tx1"/>
            </w14:solidFill>
          </w14:textFill>
        </w:rPr>
        <w:t>纯碱：现货稳价期，宽幅震荡</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今日纯碱现货端稳价，华中、华北重碱价格在1900-1950元/吨附近；轻碱下游继续补库。从供给端来看，隆众资讯3月21日报道：纯碱周产量73.24万吨，跌幅0.10%，变化不大。从库存上看，截止到2024年3月21日，本周国内纯碱厂家库存78.79万吨，环比周一增加0.57万吨，涨幅0.73%，企业产销维持，库存窄幅调整，个别企业库存较高。需求上，周内纯碱待发订单下降到11天左右，排单到月底，新订单接收不温不火，社会库存窄幅增加。盘面短期在稳价和成本线附近反复炒作供给检修和提价消息，期价目前小幅贴水，下游光伏玻璃有新增点火，刚需量有所提升，盘面减仓反弹，宽幅震荡，短线操作注意反弹至平水附近上方套保压力。</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533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44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期价继续弱势震荡</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前期期现货的持续调整可以简单理解为市场对东北产区高价的担忧，其包括两个方向，一是其能否持续，这主要源于东北产区余粮特别是地趴粮的担忧；二是其能否往下游传导，这又包括两个方面，其中华北产区主要担忧是玉米余粮和新作小麦，而南方销区更多是进口谷物。而随着时间的推进，余粮压力或逐步释放，国家增储和进口管理传言亦有望提振市场预期，盘面9-5价差小幅走扩可加以印证，在这种情况下，我们倾向于期现货价格有望迎来一轮上涨行情。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因素发生较大变化，副产品受蛋白粕带动继续上涨继续形成利空，而行业供需短期转向利空，因行业开机率带动行业库存回升，而玉米原料则有望转向利多，现货基差和盘面生产利润继续构成支撑。综合来看，我们倾向于认为淀粉-玉米价差方向暂不明朗。综上所述，我们维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4759"/>
      <w:r>
        <w:rPr>
          <w:rFonts w:hint="eastAsia" w:ascii="楷体" w:hAnsi="楷体" w:eastAsia="楷体"/>
          <w:b/>
          <w:bCs/>
          <w:color w:val="000000" w:themeColor="text1"/>
          <w14:textFill>
            <w14:solidFill>
              <w14:schemeClr w14:val="tx1"/>
            </w14:solidFill>
          </w14:textFill>
        </w:rPr>
        <w:t>畜禽养殖：生猪期价尾盘回落</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则可能带来支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7" w:name="_Toc6230"/>
      <w:r>
        <w:rPr>
          <w:rFonts w:hint="eastAsia" w:ascii="楷体" w:hAnsi="楷体" w:eastAsia="楷体"/>
          <w:b/>
          <w:bCs/>
          <w:color w:val="000000" w:themeColor="text1"/>
          <w14:textFill>
            <w14:solidFill>
              <w14:schemeClr w14:val="tx1"/>
            </w14:solidFill>
          </w14:textFill>
        </w:rPr>
        <w:t>白糖：下有支撑，上方承压</w:t>
      </w:r>
      <w:bookmarkEnd w:id="37"/>
    </w:p>
    <w:p>
      <w:pPr>
        <w:pStyle w:val="93"/>
        <w:spacing w:before="0" w:beforeAutospacing="0" w:after="60" w:afterAutospacing="0"/>
        <w:ind w:left="630" w:leftChars="300"/>
        <w:rPr>
          <w:rFonts w:ascii="楷体" w:hAnsi="楷体" w:eastAsia="楷体"/>
        </w:rPr>
      </w:pPr>
      <w:r>
        <w:rPr>
          <w:rFonts w:hint="eastAsia" w:ascii="楷体" w:hAnsi="楷体" w:eastAsia="楷体"/>
        </w:rPr>
        <w:t>根据路孚特最新的预估天气数据，未来两周巴西中南部将迎来大量降雨，年内累计降雨量同比减幅从-41%收缩到-25%，关于天气炒作的热情阶段性降温。尽管天气状况大有改善，但仍不满足甘蔗生长状况，短期内糖价可能仍旧坚挺。昨日外盘保持增长势头，在周三跌至一周低位后强劲反弹，需警惕回落风险。国内市场方面，昨日夜盘开盘走高，随后震荡走弱，期价在6510-6550范围变动，短期来看难以突破6600压力位。但由于国内正处收榨期，加上内外倒挂引起进口到港减少，供给端对糖价有一定的支撑。在缺乏新话题、新因素的情况下，糖价变动暂不明朗，建议持观望态度。</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8" w:name="_Toc7753"/>
      <w:r>
        <w:rPr>
          <w:rFonts w:hint="eastAsia" w:ascii="Times New Roman" w:hAnsi="Times New Roman" w:eastAsia="楷体"/>
          <w:b/>
          <w:color w:val="823C0B"/>
          <w:sz w:val="30"/>
          <w:szCs w:val="30"/>
        </w:rPr>
        <w:t>[指数]</w:t>
      </w:r>
      <w:bookmarkEnd w:id="3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9" w:name="_Toc3787"/>
      <w:r>
        <w:rPr>
          <w:rFonts w:hint="eastAsia" w:ascii="Times New Roman" w:hAnsi="Times New Roman" w:eastAsia="楷体"/>
          <w:b/>
          <w:color w:val="000000" w:themeColor="text1"/>
          <w:sz w:val="24"/>
          <w:szCs w:val="24"/>
          <w14:textFill>
            <w14:solidFill>
              <w14:schemeClr w14:val="tx1"/>
            </w14:solidFill>
          </w14:textFill>
        </w:rPr>
        <w:t>集运指数（欧线）：临近4月基差修复需求急切，欧元区PMI逊于预期</w:t>
      </w:r>
      <w:bookmarkEnd w:id="3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现货方面，周一盘后SCFIS收于2437.19点降幅收窄。3月15日，上海港出口至欧洲基本港市场运价（海运及海运附加费）为1971美元/TEU，较上期下跌7.6%。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此外，亚欧航线已经基本适应了地缘紧张局势的影响，供求平衡情况在近期成为影响运价走势的主要因素。预计市场价格继续震荡，投资者交易保持谨慎。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72481108"/>
      <w:bookmarkStart w:id="41" w:name="_Toc12779"/>
      <w:bookmarkStart w:id="42" w:name="_Toc71212556"/>
      <w:bookmarkStart w:id="43" w:name="_Toc98426751"/>
      <w:bookmarkStart w:id="44" w:name="_Toc19667"/>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2024年3月22日星期五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2024-03-22T01:40:10Z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