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bookmarkStart w:id="45" w:name="_GoBack"/>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_Toc11109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_Toc29933 </w:instrText>
          </w:r>
          <w:r>
            <w:rPr>
              <w:bCs/>
            </w:rPr>
            <w:fldChar w:fldCharType="separate"/>
          </w:r>
          <w:r>
            <w:rPr>
              <w:rFonts w:hint="eastAsia" w:ascii="Times New Roman" w:hAnsi="Times New Roman" w:eastAsia="楷体"/>
              <w:szCs w:val="24"/>
            </w:rPr>
            <w:t>股指：震荡盘整为主</w:t>
          </w:r>
          <w:r>
            <w:rPr>
              <w:bCs/>
            </w:rPr>
            <w:fldChar w:fldCharType="end"/>
          </w:r>
        </w:p>
        <w:p>
          <w:pPr>
            <w:pStyle w:val="59"/>
            <w:tabs>
              <w:tab w:val="right" w:leader="dot" w:pos="8306"/>
            </w:tabs>
          </w:pPr>
          <w:r>
            <w:rPr>
              <w:bCs/>
            </w:rPr>
            <w:fldChar w:fldCharType="begin"/>
          </w:r>
          <w:r>
            <w:rPr>
              <w:bCs/>
            </w:rPr>
            <w:instrText xml:space="preserve"> HYPERLINK \l _Toc24416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_Toc25429 </w:instrText>
          </w:r>
          <w:r>
            <w:rPr>
              <w:bCs/>
            </w:rPr>
            <w:fldChar w:fldCharType="separate"/>
          </w:r>
          <w:r>
            <w:rPr>
              <w:rFonts w:hint="eastAsia" w:ascii="Times New Roman" w:hAnsi="Times New Roman" w:eastAsia="楷体"/>
              <w:szCs w:val="24"/>
            </w:rPr>
            <w:t>贵金属：澳洲联储维持利率水平不变，贵金属价格窄幅震荡</w:t>
          </w:r>
          <w:r>
            <w:rPr>
              <w:bCs/>
            </w:rPr>
            <w:fldChar w:fldCharType="end"/>
          </w:r>
        </w:p>
        <w:p>
          <w:pPr>
            <w:pStyle w:val="59"/>
            <w:tabs>
              <w:tab w:val="right" w:leader="dot" w:pos="8306"/>
            </w:tabs>
          </w:pPr>
          <w:r>
            <w:rPr>
              <w:bCs/>
            </w:rPr>
            <w:fldChar w:fldCharType="begin"/>
          </w:r>
          <w:r>
            <w:rPr>
              <w:bCs/>
            </w:rPr>
            <w:instrText xml:space="preserve"> HYPERLINK \l _Toc1083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_Toc30504 </w:instrText>
          </w:r>
          <w:r>
            <w:rPr>
              <w:bCs/>
            </w:rPr>
            <w:fldChar w:fldCharType="separate"/>
          </w:r>
          <w:r>
            <w:rPr>
              <w:rFonts w:hint="eastAsia" w:ascii="楷体" w:hAnsi="楷体" w:eastAsia="楷体"/>
              <w:szCs w:val="24"/>
            </w:rPr>
            <w:t>碳酸锂：现货价格持平，期价小幅下跌</w:t>
          </w:r>
          <w:r>
            <w:rPr>
              <w:bCs/>
            </w:rPr>
            <w:fldChar w:fldCharType="end"/>
          </w:r>
        </w:p>
        <w:p>
          <w:pPr>
            <w:pStyle w:val="74"/>
            <w:tabs>
              <w:tab w:val="right" w:leader="dot" w:pos="8306"/>
            </w:tabs>
          </w:pPr>
          <w:r>
            <w:rPr>
              <w:bCs/>
            </w:rPr>
            <w:fldChar w:fldCharType="begin"/>
          </w:r>
          <w:r>
            <w:rPr>
              <w:bCs/>
            </w:rPr>
            <w:instrText xml:space="preserve"> HYPERLINK \l _Toc18872 </w:instrText>
          </w:r>
          <w:r>
            <w:rPr>
              <w:bCs/>
            </w:rPr>
            <w:fldChar w:fldCharType="separate"/>
          </w:r>
          <w:r>
            <w:rPr>
              <w:rFonts w:hint="eastAsia" w:ascii="楷体" w:hAnsi="楷体" w:eastAsia="楷体"/>
              <w:szCs w:val="24"/>
            </w:rPr>
            <w:t>铜：短期价格保持高位，关注联储议息会议</w:t>
          </w:r>
          <w:r>
            <w:rPr>
              <w:bCs/>
            </w:rPr>
            <w:fldChar w:fldCharType="end"/>
          </w:r>
        </w:p>
        <w:p>
          <w:pPr>
            <w:pStyle w:val="74"/>
            <w:tabs>
              <w:tab w:val="right" w:leader="dot" w:pos="8306"/>
            </w:tabs>
          </w:pPr>
          <w:r>
            <w:rPr>
              <w:bCs/>
            </w:rPr>
            <w:fldChar w:fldCharType="begin"/>
          </w:r>
          <w:r>
            <w:rPr>
              <w:bCs/>
            </w:rPr>
            <w:instrText xml:space="preserve"> HYPERLINK \l _Toc2928 </w:instrText>
          </w:r>
          <w:r>
            <w:rPr>
              <w:bCs/>
            </w:rPr>
            <w:fldChar w:fldCharType="separate"/>
          </w:r>
          <w:r>
            <w:rPr>
              <w:rFonts w:hint="eastAsia" w:ascii="楷体" w:hAnsi="楷体" w:eastAsia="楷体"/>
              <w:szCs w:val="24"/>
            </w:rPr>
            <w:t>铝：铝价受成本支撑表现相对坚挺</w:t>
          </w:r>
          <w:r>
            <w:rPr>
              <w:bCs/>
            </w:rPr>
            <w:fldChar w:fldCharType="end"/>
          </w:r>
        </w:p>
        <w:p>
          <w:pPr>
            <w:pStyle w:val="74"/>
            <w:tabs>
              <w:tab w:val="right" w:leader="dot" w:pos="8306"/>
            </w:tabs>
          </w:pPr>
          <w:r>
            <w:rPr>
              <w:bCs/>
            </w:rPr>
            <w:fldChar w:fldCharType="begin"/>
          </w:r>
          <w:r>
            <w:rPr>
              <w:bCs/>
            </w:rPr>
            <w:instrText xml:space="preserve"> HYPERLINK \l _Toc10178 </w:instrText>
          </w:r>
          <w:r>
            <w:rPr>
              <w:bCs/>
            </w:rPr>
            <w:fldChar w:fldCharType="separate"/>
          </w:r>
          <w:r>
            <w:rPr>
              <w:rFonts w:hint="eastAsia" w:ascii="楷体" w:hAnsi="楷体" w:eastAsia="楷体"/>
              <w:szCs w:val="24"/>
            </w:rPr>
            <w:t>锌：锌价回调，建议先观望</w:t>
          </w:r>
          <w:r>
            <w:rPr>
              <w:bCs/>
            </w:rPr>
            <w:fldChar w:fldCharType="end"/>
          </w:r>
        </w:p>
        <w:p>
          <w:pPr>
            <w:pStyle w:val="74"/>
            <w:tabs>
              <w:tab w:val="right" w:leader="dot" w:pos="8306"/>
            </w:tabs>
          </w:pPr>
          <w:r>
            <w:rPr>
              <w:bCs/>
            </w:rPr>
            <w:fldChar w:fldCharType="begin"/>
          </w:r>
          <w:r>
            <w:rPr>
              <w:bCs/>
            </w:rPr>
            <w:instrText xml:space="preserve"> HYPERLINK \l _Toc17745 </w:instrText>
          </w:r>
          <w:r>
            <w:rPr>
              <w:bCs/>
            </w:rPr>
            <w:fldChar w:fldCharType="separate"/>
          </w:r>
          <w:r>
            <w:rPr>
              <w:rFonts w:hint="eastAsia" w:ascii="楷体" w:hAnsi="楷体" w:eastAsia="楷体"/>
              <w:szCs w:val="24"/>
            </w:rPr>
            <w:t>镍：印尼镍矿审批加快，价格或震荡偏弱运行</w:t>
          </w:r>
          <w:r>
            <w:rPr>
              <w:bCs/>
            </w:rPr>
            <w:fldChar w:fldCharType="end"/>
          </w:r>
        </w:p>
        <w:p>
          <w:pPr>
            <w:pStyle w:val="74"/>
            <w:tabs>
              <w:tab w:val="right" w:leader="dot" w:pos="8306"/>
            </w:tabs>
          </w:pPr>
          <w:r>
            <w:rPr>
              <w:bCs/>
            </w:rPr>
            <w:fldChar w:fldCharType="begin"/>
          </w:r>
          <w:r>
            <w:rPr>
              <w:bCs/>
            </w:rPr>
            <w:instrText xml:space="preserve"> HYPERLINK \l _Toc4164 </w:instrText>
          </w:r>
          <w:r>
            <w:rPr>
              <w:bCs/>
            </w:rPr>
            <w:fldChar w:fldCharType="separate"/>
          </w:r>
          <w:r>
            <w:rPr>
              <w:rFonts w:hint="eastAsia" w:ascii="楷体" w:hAnsi="楷体" w:eastAsia="楷体"/>
              <w:szCs w:val="24"/>
            </w:rPr>
            <w:t>不锈钢：供增需弱，不锈钢价承压运行</w:t>
          </w:r>
          <w:r>
            <w:rPr>
              <w:bCs/>
            </w:rPr>
            <w:fldChar w:fldCharType="end"/>
          </w:r>
        </w:p>
        <w:p>
          <w:pPr>
            <w:pStyle w:val="74"/>
            <w:tabs>
              <w:tab w:val="right" w:leader="dot" w:pos="8306"/>
            </w:tabs>
          </w:pPr>
          <w:r>
            <w:rPr>
              <w:bCs/>
            </w:rPr>
            <w:fldChar w:fldCharType="begin"/>
          </w:r>
          <w:r>
            <w:rPr>
              <w:bCs/>
            </w:rPr>
            <w:instrText xml:space="preserve"> HYPERLINK \l _Toc4857 </w:instrText>
          </w:r>
          <w:r>
            <w:rPr>
              <w:bCs/>
            </w:rPr>
            <w:fldChar w:fldCharType="separate"/>
          </w:r>
          <w:r>
            <w:rPr>
              <w:rFonts w:hint="eastAsia" w:ascii="楷体" w:hAnsi="楷体" w:eastAsia="楷体"/>
              <w:szCs w:val="24"/>
            </w:rPr>
            <w:t>工业硅：基本面边际转弱，盘面承压下行</w:t>
          </w:r>
          <w:r>
            <w:rPr>
              <w:bCs/>
            </w:rPr>
            <w:fldChar w:fldCharType="end"/>
          </w:r>
        </w:p>
        <w:p>
          <w:pPr>
            <w:pStyle w:val="59"/>
            <w:tabs>
              <w:tab w:val="right" w:leader="dot" w:pos="8306"/>
            </w:tabs>
          </w:pPr>
          <w:r>
            <w:rPr>
              <w:bCs/>
            </w:rPr>
            <w:fldChar w:fldCharType="begin"/>
          </w:r>
          <w:r>
            <w:rPr>
              <w:bCs/>
            </w:rPr>
            <w:instrText xml:space="preserve"> HYPERLINK \l _Toc13537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_Toc4864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供应端利好叠加收储传闻 短期天胶或偏强运行</w:t>
          </w:r>
          <w:r>
            <w:rPr>
              <w:bCs/>
            </w:rPr>
            <w:fldChar w:fldCharType="end"/>
          </w:r>
        </w:p>
        <w:p>
          <w:pPr>
            <w:pStyle w:val="74"/>
            <w:tabs>
              <w:tab w:val="right" w:leader="dot" w:pos="8306"/>
            </w:tabs>
          </w:pPr>
          <w:r>
            <w:rPr>
              <w:bCs/>
            </w:rPr>
            <w:fldChar w:fldCharType="begin"/>
          </w:r>
          <w:r>
            <w:rPr>
              <w:bCs/>
            </w:rPr>
            <w:instrText xml:space="preserve"> HYPERLINK \l _Toc10057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_Toc12269 </w:instrText>
          </w:r>
          <w:r>
            <w:rPr>
              <w:bCs/>
            </w:rPr>
            <w:fldChar w:fldCharType="separate"/>
          </w:r>
          <w:r>
            <w:rPr>
              <w:rFonts w:hint="eastAsia" w:ascii="楷体" w:hAnsi="楷体" w:eastAsia="楷体"/>
              <w:szCs w:val="24"/>
            </w:rPr>
            <w:t>玻璃：现货降价，情绪偏弱</w:t>
          </w:r>
          <w:r>
            <w:rPr>
              <w:bCs/>
            </w:rPr>
            <w:fldChar w:fldCharType="end"/>
          </w:r>
        </w:p>
        <w:p>
          <w:pPr>
            <w:pStyle w:val="74"/>
            <w:tabs>
              <w:tab w:val="right" w:leader="dot" w:pos="8306"/>
            </w:tabs>
          </w:pPr>
          <w:r>
            <w:rPr>
              <w:bCs/>
            </w:rPr>
            <w:fldChar w:fldCharType="begin"/>
          </w:r>
          <w:r>
            <w:rPr>
              <w:bCs/>
            </w:rPr>
            <w:instrText xml:space="preserve"> HYPERLINK \l _Toc4404 </w:instrText>
          </w:r>
          <w:r>
            <w:rPr>
              <w:bCs/>
            </w:rPr>
            <w:fldChar w:fldCharType="separate"/>
          </w:r>
          <w:r>
            <w:rPr>
              <w:rFonts w:hint="eastAsia" w:ascii="楷体" w:hAnsi="楷体" w:eastAsia="楷体"/>
              <w:szCs w:val="24"/>
            </w:rPr>
            <w:t>纯碱：轻碱下游补库，现货稳价为主</w:t>
          </w:r>
          <w:r>
            <w:rPr>
              <w:bCs/>
            </w:rPr>
            <w:fldChar w:fldCharType="end"/>
          </w:r>
        </w:p>
        <w:p>
          <w:pPr>
            <w:pStyle w:val="59"/>
            <w:tabs>
              <w:tab w:val="right" w:leader="dot" w:pos="8306"/>
            </w:tabs>
          </w:pPr>
          <w:r>
            <w:rPr>
              <w:bCs/>
            </w:rPr>
            <w:fldChar w:fldCharType="begin"/>
          </w:r>
          <w:r>
            <w:rPr>
              <w:bCs/>
            </w:rPr>
            <w:instrText xml:space="preserve"> HYPERLINK \l _Toc22712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_Toc26964 </w:instrText>
          </w:r>
          <w:r>
            <w:rPr>
              <w:bCs/>
            </w:rPr>
            <w:fldChar w:fldCharType="separate"/>
          </w:r>
          <w:r>
            <w:rPr>
              <w:rFonts w:hint="eastAsia" w:ascii="楷体" w:hAnsi="楷体" w:eastAsia="楷体"/>
              <w:bCs/>
            </w:rPr>
            <w:t>玉米与淀粉：</w:t>
          </w:r>
          <w:r>
            <w:rPr>
              <w:rFonts w:hint="eastAsia" w:ascii="楷体" w:hAnsi="楷体" w:eastAsia="楷体"/>
            </w:rPr>
            <w:t>期价延续震荡态势</w:t>
          </w:r>
          <w:r>
            <w:rPr>
              <w:bCs/>
            </w:rPr>
            <w:fldChar w:fldCharType="end"/>
          </w:r>
        </w:p>
        <w:p>
          <w:pPr>
            <w:pStyle w:val="74"/>
            <w:tabs>
              <w:tab w:val="right" w:leader="dot" w:pos="8306"/>
            </w:tabs>
          </w:pPr>
          <w:r>
            <w:rPr>
              <w:bCs/>
            </w:rPr>
            <w:fldChar w:fldCharType="begin"/>
          </w:r>
          <w:r>
            <w:rPr>
              <w:bCs/>
            </w:rPr>
            <w:instrText xml:space="preserve"> HYPERLINK \l _Toc18045 </w:instrText>
          </w:r>
          <w:r>
            <w:rPr>
              <w:bCs/>
            </w:rPr>
            <w:fldChar w:fldCharType="separate"/>
          </w:r>
          <w:r>
            <w:rPr>
              <w:rFonts w:hint="eastAsia" w:ascii="楷体" w:hAnsi="楷体" w:eastAsia="楷体"/>
              <w:bCs/>
            </w:rPr>
            <w:t>畜禽养殖：生猪现货带动期价偏强震荡</w:t>
          </w:r>
          <w:r>
            <w:rPr>
              <w:bCs/>
            </w:rPr>
            <w:fldChar w:fldCharType="end"/>
          </w:r>
        </w:p>
        <w:p>
          <w:pPr>
            <w:pStyle w:val="74"/>
            <w:tabs>
              <w:tab w:val="right" w:leader="dot" w:pos="8306"/>
            </w:tabs>
          </w:pPr>
          <w:r>
            <w:rPr>
              <w:bCs/>
            </w:rPr>
            <w:fldChar w:fldCharType="begin"/>
          </w:r>
          <w:r>
            <w:rPr>
              <w:bCs/>
            </w:rPr>
            <w:instrText xml:space="preserve"> HYPERLINK \l _Toc29882 </w:instrText>
          </w:r>
          <w:r>
            <w:rPr>
              <w:bCs/>
            </w:rPr>
            <w:fldChar w:fldCharType="separate"/>
          </w:r>
          <w:r>
            <w:rPr>
              <w:rFonts w:hint="eastAsia" w:ascii="楷体" w:hAnsi="楷体" w:eastAsia="楷体"/>
              <w:bCs/>
            </w:rPr>
            <w:t>白糖：白糖价格相对抗跌，期价维持震荡偏强运行</w:t>
          </w:r>
          <w:r>
            <w:rPr>
              <w:bCs/>
            </w:rPr>
            <w:fldChar w:fldCharType="end"/>
          </w:r>
        </w:p>
        <w:p>
          <w:pPr>
            <w:pStyle w:val="59"/>
            <w:tabs>
              <w:tab w:val="right" w:leader="dot" w:pos="8306"/>
            </w:tabs>
          </w:pPr>
          <w:r>
            <w:rPr>
              <w:bCs/>
            </w:rPr>
            <w:fldChar w:fldCharType="begin"/>
          </w:r>
          <w:r>
            <w:rPr>
              <w:bCs/>
            </w:rPr>
            <w:instrText xml:space="preserve"> HYPERLINK \l _Toc198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_Toc8325 </w:instrText>
          </w:r>
          <w:r>
            <w:rPr>
              <w:bCs/>
            </w:rPr>
            <w:fldChar w:fldCharType="separate"/>
          </w:r>
          <w:r>
            <w:rPr>
              <w:rFonts w:hint="eastAsia" w:ascii="Times New Roman" w:hAnsi="Times New Roman" w:eastAsia="楷体"/>
              <w:szCs w:val="24"/>
            </w:rPr>
            <w:t>集运指数（欧线）：限仓放宽板幅回落，SCFIS超预期带动盘面升至一月新高</w:t>
          </w:r>
          <w:r>
            <w:rPr>
              <w:bCs/>
            </w:rPr>
            <w:fldChar w:fldCharType="end"/>
          </w:r>
        </w:p>
        <w:p>
          <w:pPr>
            <w:pStyle w:val="59"/>
            <w:tabs>
              <w:tab w:val="right" w:leader="dot" w:pos="8296"/>
            </w:tabs>
            <w:rPr>
              <w:rFonts w:eastAsiaTheme="minorEastAsia"/>
              <w:szCs w:val="22"/>
            </w:rPr>
          </w:pPr>
          <w:r>
            <w:rPr>
              <w:bCs/>
            </w:rPr>
            <w:fldChar w:fldCharType="end"/>
          </w:r>
          <w:bookmarkEnd w:id="45"/>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110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993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震荡盘整为主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A股市场近期整体均以震荡轮动为主。经济基本面仍处于温和复苏的状态，市场风险偏好不断回升。产业政策与事件催化不断，监管层也在不断发力，有护盘力量托底，确保市场没有过度向下风险。但市场前期反弹累计了一定的涨幅，短期有兑现收益的诉求，整体处于震荡的格局。沪指3089点上方压力较大，短线大盘技术上有继续回调蓄势的要求。</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441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5429"/>
      <w:r>
        <w:rPr>
          <w:rFonts w:hint="eastAsia" w:ascii="Times New Roman" w:hAnsi="Times New Roman" w:eastAsia="楷体"/>
          <w:b/>
          <w:color w:val="000000" w:themeColor="text1"/>
          <w:sz w:val="24"/>
          <w:szCs w:val="24"/>
          <w14:textFill>
            <w14:solidFill>
              <w14:schemeClr w14:val="tx1"/>
            </w14:solidFill>
          </w14:textFill>
        </w:rPr>
        <w:t>贵金属：澳洲联储维持利率水平不变，贵金属价格窄幅震荡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0.06%至505.98元/克，沪银跌0.38%至6315元/千克。日本1月CPI同比增2.2%，核心CPI同比增3.5%，升至历史高位的通胀为日央行调整货币政策提供数据支持。3月19日，日本央行宣布最新利率决议，将基准利率从-0.1%上调至0~0.1%，为2007年以来首次加息，结束长达8年的负利率环境；日央行结束收益率曲线控制框架，取消对日股ETF和REITS的购买计划，并表示仍将维持宽松的货币环境。澳洲联储维持利率在4.35%不变，符合市场预期。澳洲联储表示，对利率问题不排除任何可能性，决心将通胀恢复至目标水平，预计通胀持续在目标范围之前还需要一段时间。海外降息预期有所回落，CME Fedwatch模型由外盘联邦基金利率期货价格反推的美联储利率预测显示，6月降息25bp几率降至50.7%，降息50bp几率为4.4%；直至7月累计降息25bp几率48.3%，累计降息50bp几率23.6%，累计降息75bp几率1.8%。周内关注美联储3月议息决议，中长线角度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08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30504"/>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碳酸锂：现货价格持平，期价小幅下跌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盘初窄幅震荡、午后转跌，07合约收跌1.84%至114950元/吨。终端需求逐步回暖，正极材料订单好转，但企业仍面临原料成本压力，多数按单生产。订单增量多数由部分头部电芯大厂承接，磷酸铁锂头部企业开工率升至7成甚至满负荷生产，中部企业开工率约5-6成。广期所碳酸锂LC2403合约完成交割，交割量5593手（5593吨），交割金额6.33亿元。其中，滚动交割5338手，占比95.44%；一次性交割255手，占比4.56%。终端需求逐步回暖，磷酸铁锂供应持续增量，6系三元材料需求上行，雅保宣布将于3月26日举行10000吨锂辉石精矿拍卖，后续关注拍卖成交情况，消息面因素扰动下期价波动或加剧。</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18872"/>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短期价格保持高位，关注联储议息会议</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(1)产业：海关公布2024年1月，中国未锻轧铜及铜材出口量为76,745吨，同比增长7.6%。2月，中国未锻轧铜及铜材出口量为66,161吨，同比下降25.7%；1-2月出口量为142,906吨，同比下降10.9%。</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(2)库存：3月19日，SHFE仓单库存205818吨，减99吨；LME仓单库存106700吨，减125吨。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(3)精废价差：3月19日，Mysteel精废价差2590，扩张34。目前价差在合理价差1431之上。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宏观环境及资金热度依旧给予价格支撑，但需求恢复缓慢，库存压力较大，现货维持贴水，成为短期价格继续推涨的阻力。近期价格连续上行后多空博弈加剧，价格波动或加大。关注本周联储议息会议官员表态。</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2928"/>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铝价受成本支撑表现相对坚挺</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在海外降息预期及国内稳中向好的政策环境中表现为利多。供应端有铝土矿产量走低，氧化铝价格坚挺，成本端支撑抬升，云南计划复产52万吨，目前铸锭社库仍在累积，需求进入旺季提振消费，但改善程度仍待证伪，昨日海外伦铝价格走弱，沪铝价格小幅回调站稳前高，趋势上仍偏多看待。</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0178"/>
      <w:r>
        <w:rPr>
          <w:rFonts w:hint="eastAsia" w:ascii="楷体" w:hAnsi="楷体" w:eastAsia="楷体"/>
          <w:b/>
          <w:color w:val="000000" w:themeColor="text1"/>
          <w:sz w:val="24"/>
          <w:szCs w:val="24"/>
          <w14:textFill>
            <w14:solidFill>
              <w14:schemeClr w14:val="tx1"/>
            </w14:solidFill>
          </w14:textFill>
        </w:rPr>
        <w:t>锌：锌价回调，建议先观望</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整体保持偏多，国内矿端供应偏紧，随着加工费不持续走弱，部分炼厂利润倒挂，目前多地炼厂计划检修，3月产量或环比走弱，下游消费来看开工率逐渐恢复，但较去年同期水平表现下降。进口锌补充窗口打开，海外库存累积，全球库存仍维持偏低水平。锌价测试前高承压，短期或出现回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7745"/>
      <w:r>
        <w:rPr>
          <w:rFonts w:hint="eastAsia" w:ascii="楷体" w:hAnsi="楷体" w:eastAsia="楷体"/>
          <w:b/>
          <w:color w:val="000000" w:themeColor="text1"/>
          <w:sz w:val="24"/>
          <w:szCs w:val="24"/>
          <w14:textFill>
            <w14:solidFill>
              <w14:schemeClr w14:val="tx1"/>
            </w14:solidFill>
          </w14:textFill>
        </w:rPr>
        <w:t>镍：印尼镍矿审批加快，价格或震荡偏弱运行</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扰动方面，周二印尼官员表示政府已批准107家矿商的镍矿生产配额1.5262亿吨，表明印尼镍矿审批进度加快，矿端供应担忧逻辑将减弱。成本方面，中间品及硫酸镍处于阶段性供需偏紧局势，因此价格偏强运行，镍价成本支撑走强。供需方面，近期三元订单有所增加，不过对镍需求提振或有限，镍供应显著过剩格局持续，社会库存维持累库，镍仍处于中长期下行通道。综合而言，印尼镍矿扰动对镍价的影响弱化，或使镍价回吐部分溢价，预计短期价格震荡偏弱，操作上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4164"/>
      <w:r>
        <w:rPr>
          <w:rFonts w:hint="eastAsia" w:ascii="楷体" w:hAnsi="楷体" w:eastAsia="楷体"/>
          <w:b/>
          <w:color w:val="000000" w:themeColor="text1"/>
          <w:sz w:val="24"/>
          <w:szCs w:val="24"/>
          <w14:textFill>
            <w14:solidFill>
              <w14:schemeClr w14:val="tx1"/>
            </w14:solidFill>
          </w14:textFill>
        </w:rPr>
        <w:t>不锈钢：供增需弱，不锈钢价承压运行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周二印尼官员表示政府已批准107家矿商的镍矿生产配额1.5262亿吨，表明印尼镍矿审批进度加快，矿端供应担忧逻辑将减弱。原料端，近日高碳铬铁价格上涨，加上短期镍矿供应偏紧问题难解，短期镍矿及镍铁价格大幅下跌可能性不大。供需面，不锈钢厂陆续复产，供应将有明显增量，而下游成交以刚需采购为主，需求表现不佳，对不锈钢价格带来明显制约。综合而言，不锈钢成本支撑犹存，矿端供应扰动降温及供增需弱格局下价格承压运行，持续关注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485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基本面边际转弱，盘面承压下行</w:t>
      </w:r>
      <w:bookmarkEnd w:id="27"/>
    </w:p>
    <w:p>
      <w:pPr>
        <w:ind w:left="630" w:leftChars="300"/>
        <w:rPr>
          <w:rFonts w:ascii="楷体" w:hAnsi="楷体" w:eastAsia="楷体"/>
          <w:sz w:val="24"/>
          <w:szCs w:val="24"/>
        </w:rPr>
      </w:pPr>
      <w:r>
        <w:rPr>
          <w:rFonts w:hint="eastAsia" w:ascii="楷体" w:hAnsi="楷体" w:eastAsia="楷体"/>
          <w:sz w:val="24"/>
          <w:szCs w:val="24"/>
        </w:rPr>
        <w:t>3月18日，Si2405主力合约呈下行走势，收盘价12705元/吨，较上一收盘价涨跌幅-0.66%。从基本面来看，虽然西南处于季节性减产，但北方供应持续恢复，使得供应有所增加。而下游多晶硅现货价格出现下跌，其下游硅片企业出现减产情况，使得市场对于多晶硅拉动需求改善预期转弱。目前，行业依旧处于供需双增格局，但由基本面边际转弱，叠加行业库存偏高，预计盘面或将偏弱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3537"/>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486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供应端利好叠加收储传闻 短期天胶或偏强运行</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短期天然橡胶价格维持偏强运行，但在短线大幅上涨后，后续上行空间或有限。</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0057"/>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北方地区农膜行业已经进入需求旺季，带动LLDPE现货价格上行，塑料期货反弹，而PP新增产能压力仍存，泉州国亨化学45万吨/年PP装置前期造粒成功，即将试车。整体供应压力PP&gt;PE。聚烯烃存量装置供应较为充足，目前库存水平依旧偏高，石化库存去化缓慢，延续供需双增格局。国际油价上行，煤炭偏弱，油制成本支撑增强，煤制成本支撑减弱。预计短期聚烯烃价格维持震荡走势，PE走势或在需求面的托举下强于PP。</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2269"/>
      <w:r>
        <w:rPr>
          <w:rFonts w:hint="eastAsia" w:ascii="楷体" w:hAnsi="楷体" w:eastAsia="楷体"/>
          <w:b/>
          <w:color w:val="000000" w:themeColor="text1"/>
          <w:sz w:val="24"/>
          <w:szCs w:val="24"/>
          <w14:textFill>
            <w14:solidFill>
              <w14:schemeClr w14:val="tx1"/>
            </w14:solidFill>
          </w14:textFill>
        </w:rPr>
        <w:t>玻璃：现货降价，情绪偏弱</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19日报道：今日浮法玻璃现货价格1876元/吨，较上一交易日-7元/吨。供给上，截至2024年3月14日，全国浮法玻璃日产量为17.54万吨，比3月7日+0.98%。库存上，截止到20240314，全国浮法玻璃样本企业总库存6278.3万重箱，环比+354万重箱，环比+5.98%，本周除沙河产销较好外，其余地区成交一般，预计继续累库。从需求看，下游采购积极性不高，补库谨慎，刚需为主。短期在高供给弱需求，现货降价的情况下，期价延续弱势，后市可关注1500-1550附近成本能否企稳，短线偏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4404"/>
      <w:r>
        <w:rPr>
          <w:rFonts w:hint="eastAsia" w:ascii="楷体" w:hAnsi="楷体" w:eastAsia="楷体"/>
          <w:b/>
          <w:color w:val="000000" w:themeColor="text1"/>
          <w:sz w:val="24"/>
          <w:szCs w:val="24"/>
          <w14:textFill>
            <w14:solidFill>
              <w14:schemeClr w14:val="tx1"/>
            </w14:solidFill>
          </w14:textFill>
        </w:rPr>
        <w:t>纯碱：轻碱下游补库，现货稳价为主</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稳价，华中、华北重碱价格在1950元/吨附近，成交一般；轻碱部分地区产销较好，河南送到价1860元/吨，价格维稳。从供给端来看，隆众资讯3月14日报道：周纯碱产量73.31万吨，环比减少1.40万吨，跌幅1.87%，3月中下旬有部分检修计划检修，同期青海地区产量回升，预计周度产量维持在72-73万吨附近。从库存上看，截止到2024年3月18日，本周国内纯碱厂家总库存78.22万吨，环比上周四降1.05万吨，降幅1.32%。需求上，玻璃厂重碱有进口碱补充，维持刚需；轻碱价格回升，刺激下游开始补库，但轻碱补库空间有限，补库难以长时间持续。盘面短期供给端检修和提价消息反复炒作刺激反弹，重点关注轻碱下游补库情况，操作上建议反弹至平水或者小幅升水附近高空，成本线附近注意止盈。</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2712"/>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2696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期价延续震荡态势</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前期期现货的持续调整可以简单理解为市场对东北产区高价的担忧，其包括两个方向，一是其能否持续，这主要源于东北产区余粮特别是地趴粮的担忧；二是其能否往下游传导，这又包括两个方面，其中华北产区主要担忧是玉米余粮和新作小麦，而南方销区更多是进口谷物。而随着时间的推进，余粮压力或逐步释放，国家增储和进口管理传言亦有望提振市场预期，盘面9-5价差小幅走扩可加以印证，在这种情况下，我们倾向于期现货价格有望迎来一轮上涨行情。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因素发生较大变化，副产品受蛋白粕带动继续上涨继续形成利空，而行业供需短期转向利空，因行业开机率带动行业库存回升，而玉米原料则有望转向利多，现货基差和盘面生产利润继续构成支撑。综合来看，我们倾向于认为淀粉-玉米价差方向暂不明朗。综上所述，我们维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8045"/>
      <w:r>
        <w:rPr>
          <w:rFonts w:hint="eastAsia" w:ascii="楷体" w:hAnsi="楷体" w:eastAsia="楷体"/>
          <w:b/>
          <w:bCs/>
          <w:color w:val="000000" w:themeColor="text1"/>
          <w14:textFill>
            <w14:solidFill>
              <w14:schemeClr w14:val="tx1"/>
            </w14:solidFill>
          </w14:textFill>
        </w:rPr>
        <w:t>畜禽养殖：生猪现货带动期价偏强震荡</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供需端角度看，市场基于行业产能去化即能繁母猪存栏持续下滑合理预期远期趋于改善，这体现在期价远月升水结构上，市场分歧更多在于供需改善的幅度，这对应后期现货表现。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从饲料成本角度看，随后春节前后饲料原料即豆粕和玉米均有所上涨，但较去年同期仍有较大幅度下滑，考虑到养殖利润同比改善，在一定程度上反映供需改善的预期，需要特别留意后期饲料原料价格走势。综合来看，中期行业供需与饲料成本均存在不确定性，且期价升水在一定程度上反映市场看涨预期，建议更多关注短期市场节奏，这直观体现在现货走势上。据此我们维持中性观点，建议投资者观望为宜，可根据市场节奏和现货走势参与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则可能带来支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7" w:name="_Toc29882"/>
      <w:r>
        <w:rPr>
          <w:rFonts w:hint="eastAsia" w:ascii="楷体" w:hAnsi="楷体" w:eastAsia="楷体"/>
          <w:b/>
          <w:bCs/>
          <w:color w:val="000000" w:themeColor="text1"/>
          <w14:textFill>
            <w14:solidFill>
              <w14:schemeClr w14:val="tx1"/>
            </w14:solidFill>
          </w14:textFill>
        </w:rPr>
        <w:t>白糖：白糖价格相对抗跌，期价维持震荡偏强运行</w:t>
      </w:r>
      <w:bookmarkEnd w:id="37"/>
    </w:p>
    <w:p>
      <w:pPr>
        <w:pStyle w:val="93"/>
        <w:spacing w:before="0" w:beforeAutospacing="0" w:after="60" w:afterAutospacing="0"/>
        <w:ind w:left="630" w:leftChars="300"/>
        <w:rPr>
          <w:rFonts w:ascii="楷体" w:hAnsi="楷体" w:eastAsia="楷体"/>
        </w:rPr>
      </w:pPr>
      <w:r>
        <w:rPr>
          <w:rFonts w:hint="eastAsia" w:ascii="楷体" w:hAnsi="楷体" w:eastAsia="楷体"/>
        </w:rPr>
        <w:t>国际市场方面，印度接近收榨尾声，主产邦甘蔗供应量高于此前的预期且收榨进度较慢，在继续限制不出口的情况下，本榨季印度的期末库存有望升至三年高位，印度国内供应充足使价格较为低迷，但短期内对国际市场难产生较大影响，国际市场仍由巴西主导。昨日纽约ICE活跃合约涨幅与郑糖2405合约接近，伦敦ICE活跃合约涨幅达0.72%，国内外价格同步增长。国内市场方面，昨日夜盘开盘冲高，但最终主力合约以0.73%跌幅收盘，其中最低位为6497，整体表现为震荡运行。但日盘方面价格仍旧抗跌，即使3月进行了新一轮补库，但库存压力不大，现货市场交投活跃。我们维持谨慎看多观点，建议投资者考虑参与短线远月合约操作。</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8" w:name="_Toc198"/>
      <w:r>
        <w:rPr>
          <w:rFonts w:hint="eastAsia" w:ascii="Times New Roman" w:hAnsi="Times New Roman" w:eastAsia="楷体"/>
          <w:b/>
          <w:color w:val="823C0B"/>
          <w:sz w:val="30"/>
          <w:szCs w:val="30"/>
        </w:rPr>
        <w:t>[指数]</w:t>
      </w:r>
      <w:bookmarkEnd w:id="3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9" w:name="_Toc8325"/>
      <w:r>
        <w:rPr>
          <w:rFonts w:hint="eastAsia" w:ascii="Times New Roman" w:hAnsi="Times New Roman" w:eastAsia="楷体"/>
          <w:b/>
          <w:color w:val="000000" w:themeColor="text1"/>
          <w:sz w:val="24"/>
          <w:szCs w:val="24"/>
          <w14:textFill>
            <w14:solidFill>
              <w14:schemeClr w14:val="tx1"/>
            </w14:solidFill>
          </w14:textFill>
        </w:rPr>
        <w:t>集运指数（欧线）：限仓放宽板幅回落，SCFIS超预期带动盘面升至一月新高</w:t>
      </w:r>
      <w:bookmarkEnd w:id="3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现货方面，昨日盘后盘后SCFIS收于2437.19点降幅收窄。3月15日，上海港出口至欧洲基本港市场运价（海运及海运附加费）为1971美元/TEU，较上期下跌7.6%。</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根据上期能源，自3月20日起EC日内开仓数量扩至100手，保证金比例和板幅同步下调。</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需求方面，据欧盟统计局公布的数据显示，1月欧元区工业产出环比下跌3.2%，为2023年3月以来的最大降幅，显示出欧洲地区制造业在进入2024年以来继续低迷的表现，这将拖累未来的经济复苏势头。</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此外，亚欧航线已经基本适应了地缘紧张局势的影响，供求平衡情况在近期成为影响运价走势的主要因素。预计市场价格继续震荡，投资者交易保持谨慎。</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12779"/>
      <w:bookmarkStart w:id="41" w:name="_Toc72481108"/>
      <w:bookmarkStart w:id="42" w:name="_Toc98426751"/>
      <w:bookmarkStart w:id="43" w:name="_Toc19667"/>
      <w:bookmarkStart w:id="44" w:name="_Toc71212556"/>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2024年3月20日星期三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63E0D"/>
    <w:rsid w:val="44092E2E"/>
    <w:rsid w:val="441077D2"/>
    <w:rsid w:val="44396064"/>
    <w:rsid w:val="459609D9"/>
    <w:rsid w:val="45A37566"/>
    <w:rsid w:val="45CF0A85"/>
    <w:rsid w:val="46194A11"/>
    <w:rsid w:val="461E2AF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19</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2024-03-20T02:39:49Z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