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bookmarkStart w:id="44" w:name="_GoBack"/>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_Toc6550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_Toc6325 </w:instrText>
          </w:r>
          <w:r>
            <w:rPr>
              <w:bCs/>
            </w:rPr>
            <w:fldChar w:fldCharType="separate"/>
          </w:r>
          <w:r>
            <w:rPr>
              <w:rFonts w:hint="eastAsia" w:ascii="Times New Roman" w:hAnsi="Times New Roman" w:eastAsia="楷体"/>
              <w:szCs w:val="24"/>
            </w:rPr>
            <w:t>股指：震荡盘整为主</w:t>
          </w:r>
          <w:r>
            <w:rPr>
              <w:bCs/>
            </w:rPr>
            <w:fldChar w:fldCharType="end"/>
          </w:r>
        </w:p>
        <w:p>
          <w:pPr>
            <w:pStyle w:val="59"/>
            <w:tabs>
              <w:tab w:val="right" w:leader="dot" w:pos="8306"/>
            </w:tabs>
          </w:pPr>
          <w:r>
            <w:rPr>
              <w:bCs/>
            </w:rPr>
            <w:fldChar w:fldCharType="begin"/>
          </w:r>
          <w:r>
            <w:rPr>
              <w:bCs/>
            </w:rPr>
            <w:instrText xml:space="preserve"> HYPERLINK \l _Toc11717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_Toc31863 </w:instrText>
          </w:r>
          <w:r>
            <w:rPr>
              <w:bCs/>
            </w:rPr>
            <w:fldChar w:fldCharType="separate"/>
          </w:r>
          <w:r>
            <w:rPr>
              <w:rFonts w:hint="eastAsia" w:ascii="Times New Roman" w:hAnsi="Times New Roman" w:eastAsia="楷体"/>
              <w:szCs w:val="24"/>
            </w:rPr>
            <w:t>贵金属：日央行或结束YCC政策，贵金属价格小幅下跌</w:t>
          </w:r>
          <w:r>
            <w:rPr>
              <w:bCs/>
            </w:rPr>
            <w:fldChar w:fldCharType="end"/>
          </w:r>
        </w:p>
        <w:p>
          <w:pPr>
            <w:pStyle w:val="59"/>
            <w:tabs>
              <w:tab w:val="right" w:leader="dot" w:pos="8306"/>
            </w:tabs>
          </w:pPr>
          <w:r>
            <w:rPr>
              <w:bCs/>
            </w:rPr>
            <w:fldChar w:fldCharType="begin"/>
          </w:r>
          <w:r>
            <w:rPr>
              <w:bCs/>
            </w:rPr>
            <w:instrText xml:space="preserve"> HYPERLINK \l _Toc22318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_Toc24916 </w:instrText>
          </w:r>
          <w:r>
            <w:rPr>
              <w:bCs/>
            </w:rPr>
            <w:fldChar w:fldCharType="separate"/>
          </w:r>
          <w:r>
            <w:rPr>
              <w:rFonts w:hint="eastAsia" w:ascii="楷体" w:hAnsi="楷体" w:eastAsia="楷体"/>
              <w:szCs w:val="24"/>
            </w:rPr>
            <w:t>碳酸锂：消息面因素提振，期价上涨</w:t>
          </w:r>
          <w:r>
            <w:rPr>
              <w:bCs/>
            </w:rPr>
            <w:fldChar w:fldCharType="end"/>
          </w:r>
        </w:p>
        <w:p>
          <w:pPr>
            <w:pStyle w:val="74"/>
            <w:tabs>
              <w:tab w:val="right" w:leader="dot" w:pos="8306"/>
            </w:tabs>
          </w:pPr>
          <w:r>
            <w:rPr>
              <w:bCs/>
            </w:rPr>
            <w:fldChar w:fldCharType="begin"/>
          </w:r>
          <w:r>
            <w:rPr>
              <w:bCs/>
            </w:rPr>
            <w:instrText xml:space="preserve"> HYPERLINK \l _Toc26605 </w:instrText>
          </w:r>
          <w:r>
            <w:rPr>
              <w:bCs/>
            </w:rPr>
            <w:fldChar w:fldCharType="separate"/>
          </w:r>
          <w:r>
            <w:rPr>
              <w:rFonts w:hint="eastAsia" w:ascii="楷体" w:hAnsi="楷体" w:eastAsia="楷体"/>
              <w:szCs w:val="24"/>
            </w:rPr>
            <w:t>铜：短期价格维持偏强，仍需警惕高位回落风险</w:t>
          </w:r>
          <w:r>
            <w:rPr>
              <w:bCs/>
            </w:rPr>
            <w:fldChar w:fldCharType="end"/>
          </w:r>
        </w:p>
        <w:p>
          <w:pPr>
            <w:pStyle w:val="74"/>
            <w:tabs>
              <w:tab w:val="right" w:leader="dot" w:pos="8306"/>
            </w:tabs>
          </w:pPr>
          <w:r>
            <w:rPr>
              <w:bCs/>
            </w:rPr>
            <w:fldChar w:fldCharType="begin"/>
          </w:r>
          <w:r>
            <w:rPr>
              <w:bCs/>
            </w:rPr>
            <w:instrText xml:space="preserve"> HYPERLINK \l _Toc18738 </w:instrText>
          </w:r>
          <w:r>
            <w:rPr>
              <w:bCs/>
            </w:rPr>
            <w:fldChar w:fldCharType="separate"/>
          </w:r>
          <w:r>
            <w:rPr>
              <w:rFonts w:hint="eastAsia" w:ascii="楷体" w:hAnsi="楷体" w:eastAsia="楷体"/>
              <w:szCs w:val="24"/>
            </w:rPr>
            <w:t>铝：铝价在成本支撑下趋势走强</w:t>
          </w:r>
          <w:r>
            <w:rPr>
              <w:bCs/>
            </w:rPr>
            <w:fldChar w:fldCharType="end"/>
          </w:r>
        </w:p>
        <w:p>
          <w:pPr>
            <w:pStyle w:val="74"/>
            <w:tabs>
              <w:tab w:val="right" w:leader="dot" w:pos="8306"/>
            </w:tabs>
          </w:pPr>
          <w:r>
            <w:rPr>
              <w:bCs/>
            </w:rPr>
            <w:fldChar w:fldCharType="begin"/>
          </w:r>
          <w:r>
            <w:rPr>
              <w:bCs/>
            </w:rPr>
            <w:instrText xml:space="preserve"> HYPERLINK \l _Toc22952 </w:instrText>
          </w:r>
          <w:r>
            <w:rPr>
              <w:bCs/>
            </w:rPr>
            <w:fldChar w:fldCharType="separate"/>
          </w:r>
          <w:r>
            <w:rPr>
              <w:rFonts w:hint="eastAsia" w:ascii="楷体" w:hAnsi="楷体" w:eastAsia="楷体"/>
              <w:szCs w:val="24"/>
            </w:rPr>
            <w:t>锌：锌价测试前高出现回调，建议观望</w:t>
          </w:r>
          <w:r>
            <w:rPr>
              <w:bCs/>
            </w:rPr>
            <w:fldChar w:fldCharType="end"/>
          </w:r>
        </w:p>
        <w:p>
          <w:pPr>
            <w:pStyle w:val="74"/>
            <w:tabs>
              <w:tab w:val="right" w:leader="dot" w:pos="8306"/>
            </w:tabs>
          </w:pPr>
          <w:r>
            <w:rPr>
              <w:bCs/>
            </w:rPr>
            <w:fldChar w:fldCharType="begin"/>
          </w:r>
          <w:r>
            <w:rPr>
              <w:bCs/>
            </w:rPr>
            <w:instrText xml:space="preserve"> HYPERLINK \l _Toc4388 </w:instrText>
          </w:r>
          <w:r>
            <w:rPr>
              <w:bCs/>
            </w:rPr>
            <w:fldChar w:fldCharType="separate"/>
          </w:r>
          <w:r>
            <w:rPr>
              <w:rFonts w:hint="eastAsia" w:ascii="楷体" w:hAnsi="楷体" w:eastAsia="楷体"/>
              <w:szCs w:val="24"/>
            </w:rPr>
            <w:t>镍：利好驱动持续性有限，警惕回落风险</w:t>
          </w:r>
          <w:r>
            <w:rPr>
              <w:bCs/>
            </w:rPr>
            <w:fldChar w:fldCharType="end"/>
          </w:r>
        </w:p>
        <w:p>
          <w:pPr>
            <w:pStyle w:val="74"/>
            <w:tabs>
              <w:tab w:val="right" w:leader="dot" w:pos="8306"/>
            </w:tabs>
          </w:pPr>
          <w:r>
            <w:rPr>
              <w:bCs/>
            </w:rPr>
            <w:fldChar w:fldCharType="begin"/>
          </w:r>
          <w:r>
            <w:rPr>
              <w:bCs/>
            </w:rPr>
            <w:instrText xml:space="preserve"> HYPERLINK \l _Toc24323 </w:instrText>
          </w:r>
          <w:r>
            <w:rPr>
              <w:bCs/>
            </w:rPr>
            <w:fldChar w:fldCharType="separate"/>
          </w:r>
          <w:r>
            <w:rPr>
              <w:rFonts w:hint="eastAsia" w:ascii="楷体" w:hAnsi="楷体" w:eastAsia="楷体"/>
              <w:szCs w:val="24"/>
            </w:rPr>
            <w:t>不锈钢：需求疲弱，谨慎看待反弹空间</w:t>
          </w:r>
          <w:r>
            <w:rPr>
              <w:bCs/>
            </w:rPr>
            <w:fldChar w:fldCharType="end"/>
          </w:r>
        </w:p>
        <w:p>
          <w:pPr>
            <w:pStyle w:val="74"/>
            <w:tabs>
              <w:tab w:val="right" w:leader="dot" w:pos="8306"/>
            </w:tabs>
          </w:pPr>
          <w:r>
            <w:rPr>
              <w:bCs/>
            </w:rPr>
            <w:fldChar w:fldCharType="begin"/>
          </w:r>
          <w:r>
            <w:rPr>
              <w:bCs/>
            </w:rPr>
            <w:instrText xml:space="preserve"> HYPERLINK \l _Toc19357 </w:instrText>
          </w:r>
          <w:r>
            <w:rPr>
              <w:bCs/>
            </w:rPr>
            <w:fldChar w:fldCharType="separate"/>
          </w:r>
          <w:r>
            <w:rPr>
              <w:rFonts w:hint="eastAsia" w:ascii="楷体" w:hAnsi="楷体" w:eastAsia="楷体"/>
              <w:szCs w:val="24"/>
            </w:rPr>
            <w:t>工业硅：基本面边际转弱，盘面承压下行</w:t>
          </w:r>
          <w:r>
            <w:rPr>
              <w:bCs/>
            </w:rPr>
            <w:fldChar w:fldCharType="end"/>
          </w:r>
        </w:p>
        <w:p>
          <w:pPr>
            <w:pStyle w:val="59"/>
            <w:tabs>
              <w:tab w:val="right" w:leader="dot" w:pos="8306"/>
            </w:tabs>
          </w:pPr>
          <w:r>
            <w:rPr>
              <w:bCs/>
            </w:rPr>
            <w:fldChar w:fldCharType="begin"/>
          </w:r>
          <w:r>
            <w:rPr>
              <w:bCs/>
            </w:rPr>
            <w:instrText xml:space="preserve"> HYPERLINK \l _Toc10651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_Toc28911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供应面利好叠加收储传闻 短期天胶或偏强运行</w:t>
          </w:r>
          <w:r>
            <w:rPr>
              <w:bCs/>
            </w:rPr>
            <w:fldChar w:fldCharType="end"/>
          </w:r>
        </w:p>
        <w:p>
          <w:pPr>
            <w:pStyle w:val="74"/>
            <w:tabs>
              <w:tab w:val="right" w:leader="dot" w:pos="8306"/>
            </w:tabs>
          </w:pPr>
          <w:r>
            <w:rPr>
              <w:bCs/>
            </w:rPr>
            <w:fldChar w:fldCharType="begin"/>
          </w:r>
          <w:r>
            <w:rPr>
              <w:bCs/>
            </w:rPr>
            <w:instrText xml:space="preserve"> HYPERLINK \l _Toc20731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_Toc16625 </w:instrText>
          </w:r>
          <w:r>
            <w:rPr>
              <w:bCs/>
            </w:rPr>
            <w:fldChar w:fldCharType="separate"/>
          </w:r>
          <w:r>
            <w:rPr>
              <w:rFonts w:hint="eastAsia" w:ascii="楷体" w:hAnsi="楷体" w:eastAsia="楷体"/>
              <w:szCs w:val="24"/>
            </w:rPr>
            <w:t>玻璃：现货弱势，期现持续负反馈</w:t>
          </w:r>
          <w:r>
            <w:rPr>
              <w:bCs/>
            </w:rPr>
            <w:fldChar w:fldCharType="end"/>
          </w:r>
        </w:p>
        <w:p>
          <w:pPr>
            <w:pStyle w:val="74"/>
            <w:tabs>
              <w:tab w:val="right" w:leader="dot" w:pos="8306"/>
            </w:tabs>
          </w:pPr>
          <w:r>
            <w:rPr>
              <w:bCs/>
            </w:rPr>
            <w:fldChar w:fldCharType="begin"/>
          </w:r>
          <w:r>
            <w:rPr>
              <w:bCs/>
            </w:rPr>
            <w:instrText xml:space="preserve"> HYPERLINK \l _Toc27182 </w:instrText>
          </w:r>
          <w:r>
            <w:rPr>
              <w:bCs/>
            </w:rPr>
            <w:fldChar w:fldCharType="separate"/>
          </w:r>
          <w:r>
            <w:rPr>
              <w:rFonts w:hint="eastAsia" w:ascii="楷体" w:hAnsi="楷体" w:eastAsia="楷体"/>
              <w:szCs w:val="24"/>
            </w:rPr>
            <w:t>纯碱：轻碱下游补库，现货稳价为主</w:t>
          </w:r>
          <w:r>
            <w:rPr>
              <w:bCs/>
            </w:rPr>
            <w:fldChar w:fldCharType="end"/>
          </w:r>
        </w:p>
        <w:p>
          <w:pPr>
            <w:pStyle w:val="59"/>
            <w:tabs>
              <w:tab w:val="right" w:leader="dot" w:pos="8306"/>
            </w:tabs>
          </w:pPr>
          <w:r>
            <w:rPr>
              <w:bCs/>
            </w:rPr>
            <w:fldChar w:fldCharType="begin"/>
          </w:r>
          <w:r>
            <w:rPr>
              <w:bCs/>
            </w:rPr>
            <w:instrText xml:space="preserve"> HYPERLINK \l _Toc18127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_Toc7377 </w:instrText>
          </w:r>
          <w:r>
            <w:rPr>
              <w:bCs/>
            </w:rPr>
            <w:fldChar w:fldCharType="separate"/>
          </w:r>
          <w:r>
            <w:rPr>
              <w:rFonts w:hint="eastAsia" w:ascii="楷体" w:hAnsi="楷体" w:eastAsia="楷体"/>
              <w:bCs/>
            </w:rPr>
            <w:t>玉米与淀粉：</w:t>
          </w:r>
          <w:r>
            <w:rPr>
              <w:rFonts w:hint="eastAsia" w:ascii="楷体" w:hAnsi="楷体" w:eastAsia="楷体"/>
            </w:rPr>
            <w:t>陈稻催提消息带动期价夜盘回落</w:t>
          </w:r>
          <w:r>
            <w:rPr>
              <w:bCs/>
            </w:rPr>
            <w:fldChar w:fldCharType="end"/>
          </w:r>
        </w:p>
        <w:p>
          <w:pPr>
            <w:pStyle w:val="74"/>
            <w:tabs>
              <w:tab w:val="right" w:leader="dot" w:pos="8306"/>
            </w:tabs>
          </w:pPr>
          <w:r>
            <w:rPr>
              <w:bCs/>
            </w:rPr>
            <w:fldChar w:fldCharType="begin"/>
          </w:r>
          <w:r>
            <w:rPr>
              <w:bCs/>
            </w:rPr>
            <w:instrText xml:space="preserve"> HYPERLINK \l _Toc14410 </w:instrText>
          </w:r>
          <w:r>
            <w:rPr>
              <w:bCs/>
            </w:rPr>
            <w:fldChar w:fldCharType="separate"/>
          </w:r>
          <w:r>
            <w:rPr>
              <w:rFonts w:hint="eastAsia" w:ascii="楷体" w:hAnsi="楷体" w:eastAsia="楷体"/>
              <w:bCs/>
            </w:rPr>
            <w:t>畜禽养殖：生猪期价继续上涨</w:t>
          </w:r>
          <w:r>
            <w:rPr>
              <w:bCs/>
            </w:rPr>
            <w:fldChar w:fldCharType="end"/>
          </w:r>
        </w:p>
        <w:p>
          <w:pPr>
            <w:pStyle w:val="59"/>
            <w:tabs>
              <w:tab w:val="right" w:leader="dot" w:pos="8306"/>
            </w:tabs>
          </w:pPr>
          <w:r>
            <w:rPr>
              <w:bCs/>
            </w:rPr>
            <w:fldChar w:fldCharType="begin"/>
          </w:r>
          <w:r>
            <w:rPr>
              <w:bCs/>
            </w:rPr>
            <w:instrText xml:space="preserve"> HYPERLINK \l _Toc10713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_Toc29673 </w:instrText>
          </w:r>
          <w:r>
            <w:rPr>
              <w:bCs/>
            </w:rPr>
            <w:fldChar w:fldCharType="separate"/>
          </w:r>
          <w:r>
            <w:rPr>
              <w:rFonts w:hint="eastAsia" w:ascii="Times New Roman" w:hAnsi="Times New Roman" w:eastAsia="楷体"/>
              <w:szCs w:val="24"/>
            </w:rPr>
            <w:t>集运指数（欧线）：SCFIS环比收窄，上期能源放松限仓规则</w:t>
          </w:r>
          <w:r>
            <w:rPr>
              <w:bCs/>
            </w:rPr>
            <w:fldChar w:fldCharType="end"/>
          </w:r>
        </w:p>
        <w:p>
          <w:pPr>
            <w:pStyle w:val="59"/>
            <w:tabs>
              <w:tab w:val="right" w:leader="dot" w:pos="8296"/>
            </w:tabs>
            <w:rPr>
              <w:rFonts w:eastAsiaTheme="minorEastAsia"/>
              <w:szCs w:val="22"/>
            </w:rPr>
          </w:pPr>
          <w:r>
            <w:rPr>
              <w:bCs/>
            </w:rPr>
            <w:fldChar w:fldCharType="end"/>
          </w:r>
          <w:bookmarkEnd w:id="44"/>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655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632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震荡盘整为主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近期两市指数持续反弹创新高，但沪指已经率先出现滞涨情况，存在一定调整压力。3月15日盘后，证监会集中发布《关于严把发行上市准入关从源头上提高上市公司质量的意见(试行)》等四项政策 文件，有助于从源头提升A股上市公司质量，保护投资者权益，促进一二级市场协调平衡发展，提升资本市场服务实体经济的效率和质量。管理层重视预期管理，有助于避免市场与管理层在经济和政策判断上出现重大分歧，有利于托住A股市场震荡区间下限，4月后经济内生改善能否持续仍有待观察，待调整后入场。</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171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1863"/>
      <w:r>
        <w:rPr>
          <w:rFonts w:hint="eastAsia" w:ascii="Times New Roman" w:hAnsi="Times New Roman" w:eastAsia="楷体"/>
          <w:b/>
          <w:color w:val="000000" w:themeColor="text1"/>
          <w:sz w:val="24"/>
          <w:szCs w:val="24"/>
          <w14:textFill>
            <w14:solidFill>
              <w14:schemeClr w14:val="tx1"/>
            </w14:solidFill>
          </w14:textFill>
        </w:rPr>
        <w:t>贵金属：日央行或结束YCC政策，贵金属价格小幅下跌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上涨0.13%至103.59，沪金跌0.05%至505.68元/克；沪银跌0.50%至6336元/千克。日央行或于今日宣布结束收益率曲线控制（YCC）和ETF购买。欧元区2月调和CPI终值同比增2.6%，持平于预期及初值，1月终值2.8%；环比增0.6%，预期和初值增0.6%，1月终值降0.4%。核心调和CPI终值同比增3.3%，预期及初值增3.3%，1月终值增3.6%；环比增0.6%，初值增0.6%，1月终值降0.6%。美国上周初请失业金人数录得20.9万人，低于预期的21.8万，前值从21.7万修正为21万人。美国就业市场放缓，通胀维持韧性、消费表现较弱，静待美联储3月议息决议，贵金属价格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231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491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碳酸锂：消息面因素提振，期价上涨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涨，期价盘初震荡上行，尾盘回吐部分涨幅，07合约收涨3.00%至116900元/吨。上周五晚间宁德时代披露2023年报，公司全年净利润达441.2亿元，同比增44%；全年营业总收入4009.2亿元，同比增22%；拟分红派发合计现金220.6亿元人民币。消息提振下新能源板块走强，股期联动下期价跟随上涨。上周五，阿根廷卡塔马卡省一家法院暂停发放新的采矿许可证，要求对当地锂项目进行新的环境影响研究。Arcadium Lithium发布声明称，其现有采矿作业、Fenix项目扩产和Sal de Vida项目建设不受上述法院裁决影响，公司现有的许可证和EIA环境影响评估仍然有效。广期所碳酸锂LC2403合约完成交割，交割量5593手（5593吨），交割金额6.33亿元。其中，滚动交割5338手，占比95.44%；一次性交割255手，占比4.56%。终端需求逐步回暖，磷酸铁锂供应持续增量，6系三元材料需求上行，雅保宣布将于3月26日举行10000吨锂辉石精矿拍卖，后续关注拍卖成交情况，消息面因素扰动下期价波动或加剧。</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26605"/>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短期价格维持偏强，仍需警惕高位回落风险</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(1)库存：3月18日，SHFE仓单库存205917吨，增4230吨；LME仓单库存106825吨，减475吨。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(2)精废价差：3月18日，Mysteel精废价差2556，扩张394。目前价差在合理价差1429之上。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短期价格在资金热度高位下维持偏强运行，但仍需警惕高位快速回落风险。一方面，联储降息预期被充分消化后，实际降息往往伴随经济走弱，市场关注点将有所转移；另一方面，冶炼厂实际减产影响仍具有不确定性，且高铜价压制下游需求明显受抑，库存已表现超预期累增，不排除当前宏观与基本面的共振向上驱动转为共振向下。操作上，前期多单逐步止盈后离场先观望或者继续持有下做好止损。短期波动参考 72000-74000元。关注本周联储议息会议官员表态。</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18738"/>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铝价在成本支撑下趋势走强</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在海外降息预期及国内稳中向好的政策环境中表现为利多。供应端有铝土矿产量走低，氧化铝价格坚挺，成本端支撑抬升，云南计划复产52万吨，目前铸锭社库仍在累积，需求进入旺季提振消费，但改善程度仍待证伪，铝价越过前高站稳，在成本支撑及市场利多情绪影响下或高看一线。</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2952"/>
      <w:r>
        <w:rPr>
          <w:rFonts w:hint="eastAsia" w:ascii="楷体" w:hAnsi="楷体" w:eastAsia="楷体"/>
          <w:b/>
          <w:color w:val="000000" w:themeColor="text1"/>
          <w:sz w:val="24"/>
          <w:szCs w:val="24"/>
          <w14:textFill>
            <w14:solidFill>
              <w14:schemeClr w14:val="tx1"/>
            </w14:solidFill>
          </w14:textFill>
        </w:rPr>
        <w:t>锌：锌价测试前高出现回调，建议观望</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整体保持偏多，国内矿端供应偏紧，随着加工费不持续走弱，部分炼厂利润倒挂，目前多地炼厂计划检修，3月产量或环比走弱，下游消费来看开工率逐渐恢复，但较去年同期水平表现下降。进口锌补充窗口打开，海外库存累积，全球库存仍维持偏低水平。锌价测试前高承压，短期或出现回调。</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4388"/>
      <w:r>
        <w:rPr>
          <w:rFonts w:hint="eastAsia" w:ascii="楷体" w:hAnsi="楷体" w:eastAsia="楷体"/>
          <w:b/>
          <w:color w:val="000000" w:themeColor="text1"/>
          <w:sz w:val="24"/>
          <w:szCs w:val="24"/>
          <w14:textFill>
            <w14:solidFill>
              <w14:schemeClr w14:val="tx1"/>
            </w14:solidFill>
          </w14:textFill>
        </w:rPr>
        <w:t>镍：利好驱动持续性有限，警惕回落风险</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价的利好驱动主要在于：一、美联储降息预期升温，宏观情绪整体偏多。二、中间品及硫酸镍处于阶段性供需偏紧局势，因此价格偏强运行，镍价成本支撑走强。三、短期印尼镍矿资源仍偏紧。然而，精炼镍产能继续释放，镍供应显著过剩格局不改，社会库存维持累库，镍价反弹空间有限。美联储降息预期仍将反复摇摆，印尼镍矿扰动对镍价的影响已逐渐弱化，镍成本支撑也将随着MHP和硫酸镍阶段性供应紧张局势缓解而减弱，需警惕镍价回落风险，操作上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4323"/>
      <w:r>
        <w:rPr>
          <w:rFonts w:hint="eastAsia" w:ascii="楷体" w:hAnsi="楷体" w:eastAsia="楷体"/>
          <w:b/>
          <w:color w:val="000000" w:themeColor="text1"/>
          <w:sz w:val="24"/>
          <w:szCs w:val="24"/>
          <w14:textFill>
            <w14:solidFill>
              <w14:schemeClr w14:val="tx1"/>
            </w14:solidFill>
          </w14:textFill>
        </w:rPr>
        <w:t>不锈钢：需求疲弱，谨慎看待反弹空间</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不锈钢反弹的原因可能在于：一、前期空头止盈离场；二、印尼镍矿商协会秘书长表示印尼将暂停火法冶炼厂，这或许对镍铁供应造成影响；三、短期成本支撑偏强，近日高碳铬铁价格上涨，加上短期镍矿供应偏紧问题持续为短期镍矿及镍铁价格提供支撑。从基本面来看，不锈钢厂陆续复产，据Mysteel预估，国内43家不锈钢厂粗钢3月排产312.03万吨，月环比增加21.4%，而下游成交以刚需采购为主，需求表现不佳，对不锈钢价格带来明显制约，建议谨慎看待反弹空间，主要波动区间参考13500-14200元/吨，持续关注需求恢复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935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基本面边际转弱，盘面承压下行</w:t>
      </w:r>
      <w:bookmarkEnd w:id="27"/>
    </w:p>
    <w:p>
      <w:pPr>
        <w:ind w:left="630" w:leftChars="300"/>
        <w:rPr>
          <w:rFonts w:ascii="楷体" w:hAnsi="楷体" w:eastAsia="楷体"/>
          <w:sz w:val="24"/>
          <w:szCs w:val="24"/>
        </w:rPr>
      </w:pPr>
      <w:r>
        <w:rPr>
          <w:rFonts w:hint="eastAsia" w:ascii="楷体" w:hAnsi="楷体" w:eastAsia="楷体"/>
          <w:sz w:val="24"/>
          <w:szCs w:val="24"/>
        </w:rPr>
        <w:t>3月18日，Si2405主力合约呈下行走势，收盘价12705元/吨，较上一收盘价涨跌幅-0.66%。从基本面来看，虽然西南处于季节性减产，但北方供应持续恢复，使得供应有所增加。而下游多晶硅现货价格出现下跌，其下游硅片企业出现减产情况，使得市场对于多晶硅拉动需求改善预期转弱。目前，行业依旧处于供需双增格局，但由基本面边际转弱，叠加行业库存偏高，预计盘面或将偏弱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0651"/>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891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供应面利好叠加收储传闻 短期天胶或偏强运行</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下游开工继续提升，但缺乏实质增量驱动，对原材料采购仍存谨慎态度，基本面表现仍存利好叠加收储炒作提振市场氛围，短期天然橡胶价格维持偏强运行，但在短线大幅上涨后，后续上行空间或有限。</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0731"/>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北方地区农膜行业已经进入需求旺季，带动LLDPE现货价格上行，塑料期货反弹，而PP新增产能压力仍存，泉州国亨化学45万吨/年PP装置前期造粒成功，即将试车。整体供应压力PP&gt;PE。聚烯烃存量装置供应较为充足，目前库存水平依旧偏高，石化库存去化缓慢，延续供需双增格局。国际油价上行，煤炭偏弱，油制成本支撑增强，煤制成本支撑减弱。预计短期聚烯烃价格维持震荡走势，PE走势或在需求面的托举下强于PP。</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16625"/>
      <w:r>
        <w:rPr>
          <w:rFonts w:hint="eastAsia" w:ascii="楷体" w:hAnsi="楷体" w:eastAsia="楷体"/>
          <w:b/>
          <w:color w:val="000000" w:themeColor="text1"/>
          <w:sz w:val="24"/>
          <w:szCs w:val="24"/>
          <w14:textFill>
            <w14:solidFill>
              <w14:schemeClr w14:val="tx1"/>
            </w14:solidFill>
          </w14:textFill>
        </w:rPr>
        <w:t>玻璃：现货弱势，期现持续负反馈</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18日报道：今日浮法玻璃现货价格1886元/吨，较上一交易日-21元/吨。供给上，截至2024年3月14日，全国浮法玻璃日产量为17.54万吨，比3月7日+0.98%。库存上，截止到20240314，全国浮法玻璃样本企业总库存6278.3万重箱，环比+354万重箱，环比+5.98%，本周除沙河产销较好外，其余地区成交一般，预计继续累库。从需求看，下游采购积极性不高，补库谨慎，刚需为主。短期在高供给弱需求，现货降价的情况下，期价延续弱势，后市可关注1500-1550附近成本能否企稳。</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7182"/>
      <w:r>
        <w:rPr>
          <w:rFonts w:hint="eastAsia" w:ascii="楷体" w:hAnsi="楷体" w:eastAsia="楷体"/>
          <w:b/>
          <w:color w:val="000000" w:themeColor="text1"/>
          <w:sz w:val="24"/>
          <w:szCs w:val="24"/>
          <w14:textFill>
            <w14:solidFill>
              <w14:schemeClr w14:val="tx1"/>
            </w14:solidFill>
          </w14:textFill>
        </w:rPr>
        <w:t>纯碱：轻碱下游补库，现货稳价为主</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端稳价，华中、华北重碱价格在1950元/吨附近，轻碱部分地区产销较好，但补库边际趋缓。从供给端来看，隆众资讯3月14日报道：周纯碱产量73.31万吨，环比减少1.40万吨，跌幅1.87%，3月中下旬有部分检修计划检修，同期青海地区产量回升，预计周度产量维持在72-73万吨附近。从库存上看，截止到2024年3月18日，本周国内纯碱厂家总库存78.22万吨，环比上周四降1.05万吨，降幅1.32%。需求上，玻璃厂重碱有进口碱补充，维持刚需；轻碱价格回升，刺激下游开始补库，但轻碱补库空间有限，已经开始边际走弱。盘面在供给高位和进口碱的刺激下，期价先行进入回调，目前小幅贴水现货，短期矛盾并不突出，等待补库结束后，现货供给压力进一步积累。中期仍建议反弹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18127"/>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737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陈稻催提消息带动期价夜盘回落</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前期期现货的持续调整可以简单理解为市场对东北产区高价的担忧，其包括两个方向，一是其能否持续，这主要源于东北产区余粮特别是地趴粮的担忧；二是其能否往下游传导，这又包括两个方面，其中华北产区主要担忧是玉米余粮和新作小麦，而南方销区更多是进口谷物。而随着时间的推进，余粮压力或逐步释放，国家增储和进口管理传言亦有望提振市场预期，盘面9-5价差小幅走扩可加以印证，在这种情况下，我们倾向于期现货价格有望迎来一轮上涨行情。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因素发生较大变化，副产品受蛋白粕带动继续上涨继续形成利空，而行业供需短期转向利空，因行业开机率带动行业库存回升，而玉米原料则有望转向利多，现货基差和盘面生产利润继续构成支撑。综合来看，我们倾向于认为淀粉-玉米价差方向暂不明朗。综上所述，我们维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14410"/>
      <w:r>
        <w:rPr>
          <w:rFonts w:hint="eastAsia" w:ascii="楷体" w:hAnsi="楷体" w:eastAsia="楷体"/>
          <w:b/>
          <w:bCs/>
          <w:color w:val="000000" w:themeColor="text1"/>
          <w14:textFill>
            <w14:solidFill>
              <w14:schemeClr w14:val="tx1"/>
            </w14:solidFill>
          </w14:textFill>
        </w:rPr>
        <w:t>畜禽养殖：生猪期价继续上涨</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供需端角度看，市场基于行业产能去化即能繁母猪存栏持续下滑合理预期远期趋于改善，这体现在期价远月升水结构上，市场分歧更多在于供需改善的幅度，这对应后期现货表现。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从饲料成本角度看，随后春节前后饲料原料即豆粕和玉米均有所上涨，但较去年同期仍有较大幅度下滑，考虑到养殖利润同比改善，在一定程度上反映供需改善的预期，需要特别留意后期饲料原料价格走势。综合来看，中期行业供需与饲料成本均存在不确定性，且期价升水在一定程度上反映市场看涨预期，建议更多关注短期市场节奏，这直观体现在现货走势上。据此我们维持中性观点，建议投资者观望为宜，可根据市场节奏和现货走势参与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则可能带来支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10713"/>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9673"/>
      <w:r>
        <w:rPr>
          <w:rFonts w:hint="eastAsia" w:ascii="Times New Roman" w:hAnsi="Times New Roman" w:eastAsia="楷体"/>
          <w:b/>
          <w:color w:val="000000" w:themeColor="text1"/>
          <w:sz w:val="24"/>
          <w:szCs w:val="24"/>
          <w14:textFill>
            <w14:solidFill>
              <w14:schemeClr w14:val="tx1"/>
            </w14:solidFill>
          </w14:textFill>
        </w:rPr>
        <w:t>集运指数（欧线）：SCFIS环比收窄，上期能源放松限仓规则</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现货方面，昨日盘后盘后SCFIS收于2437.19点降幅收窄。3月15日，上海港出口至欧洲基本港市场运价（海运及海运附加费）为1971美元/TEU，较上期下跌7.6%。</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根据上期能源，自3月20日起EC日内开仓数量扩至100手，保证金比例和板幅同步下调。</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需求方面，据欧盟统计局公布的数据显示，1月欧元区工业产出环比下跌3.2%，为2023年3月以来的最大降幅，显示出欧洲地区制造业在进入2024年以来继续低迷的表现，这将拖累未来的经济复苏势头。</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此外，亚欧航线已经基本适应了地缘紧张局势的影响，供求平衡情况在近期成为影响运价走势的主要因素。预计市场价格继续弱震荡，投资者交易保持谨慎。</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72481108"/>
      <w:bookmarkStart w:id="41" w:name="_Toc19667"/>
      <w:bookmarkStart w:id="42" w:name="_Toc71212556"/>
      <w:bookmarkStart w:id="43" w:name="_Toc12779"/>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2024年3月19日星期二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63E0D"/>
    <w:rsid w:val="44092E2E"/>
    <w:rsid w:val="441077D2"/>
    <w:rsid w:val="44396064"/>
    <w:rsid w:val="459609D9"/>
    <w:rsid w:val="45A37566"/>
    <w:rsid w:val="45CF0A85"/>
    <w:rsid w:val="46194A11"/>
    <w:rsid w:val="461E2AF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1</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2024-03-19T06:18:48Z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