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_Toc27221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_Toc21593 </w:instrText>
          </w:r>
          <w:r>
            <w:rPr>
              <w:bCs/>
            </w:rPr>
            <w:fldChar w:fldCharType="separate"/>
          </w:r>
          <w:r>
            <w:rPr>
              <w:rFonts w:hint="eastAsia" w:ascii="Times New Roman" w:hAnsi="Times New Roman" w:eastAsia="楷体"/>
              <w:szCs w:val="24"/>
            </w:rPr>
            <w:t>股指：短线震荡盘整为主</w:t>
          </w:r>
          <w:r>
            <w:rPr>
              <w:bCs/>
            </w:rPr>
            <w:fldChar w:fldCharType="end"/>
          </w:r>
        </w:p>
        <w:p>
          <w:pPr>
            <w:pStyle w:val="59"/>
            <w:tabs>
              <w:tab w:val="right" w:leader="dot" w:pos="8306"/>
            </w:tabs>
          </w:pPr>
          <w:r>
            <w:rPr>
              <w:bCs/>
            </w:rPr>
            <w:fldChar w:fldCharType="begin"/>
          </w:r>
          <w:r>
            <w:rPr>
              <w:bCs/>
            </w:rPr>
            <w:instrText xml:space="preserve"> HYPERLINK \l _Toc11636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_Toc12510 </w:instrText>
          </w:r>
          <w:r>
            <w:rPr>
              <w:bCs/>
            </w:rPr>
            <w:fldChar w:fldCharType="separate"/>
          </w:r>
          <w:r>
            <w:rPr>
              <w:rFonts w:hint="eastAsia" w:ascii="Times New Roman" w:hAnsi="Times New Roman" w:eastAsia="楷体"/>
              <w:szCs w:val="24"/>
            </w:rPr>
            <w:t>贵金属：美国生产端通胀超预期，贵金属窄幅震荡</w:t>
          </w:r>
          <w:r>
            <w:rPr>
              <w:bCs/>
            </w:rPr>
            <w:fldChar w:fldCharType="end"/>
          </w:r>
        </w:p>
        <w:p>
          <w:pPr>
            <w:pStyle w:val="59"/>
            <w:tabs>
              <w:tab w:val="right" w:leader="dot" w:pos="8306"/>
            </w:tabs>
          </w:pPr>
          <w:r>
            <w:rPr>
              <w:bCs/>
            </w:rPr>
            <w:fldChar w:fldCharType="begin"/>
          </w:r>
          <w:r>
            <w:rPr>
              <w:bCs/>
            </w:rPr>
            <w:instrText xml:space="preserve"> HYPERLINK \l _Toc15842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_Toc18111 </w:instrText>
          </w:r>
          <w:r>
            <w:rPr>
              <w:bCs/>
            </w:rPr>
            <w:fldChar w:fldCharType="separate"/>
          </w:r>
          <w:r>
            <w:rPr>
              <w:rFonts w:hint="eastAsia" w:ascii="楷体" w:hAnsi="楷体" w:eastAsia="楷体"/>
              <w:szCs w:val="24"/>
            </w:rPr>
            <w:t>碳酸锂：Pilbara接受预拍卖报价，期价大幅下跌</w:t>
          </w:r>
          <w:r>
            <w:rPr>
              <w:bCs/>
            </w:rPr>
            <w:fldChar w:fldCharType="end"/>
          </w:r>
        </w:p>
        <w:p>
          <w:pPr>
            <w:pStyle w:val="74"/>
            <w:tabs>
              <w:tab w:val="right" w:leader="dot" w:pos="8306"/>
            </w:tabs>
          </w:pPr>
          <w:r>
            <w:rPr>
              <w:bCs/>
            </w:rPr>
            <w:fldChar w:fldCharType="begin"/>
          </w:r>
          <w:r>
            <w:rPr>
              <w:bCs/>
            </w:rPr>
            <w:instrText xml:space="preserve"> HYPERLINK \l _Toc31575 </w:instrText>
          </w:r>
          <w:r>
            <w:rPr>
              <w:bCs/>
            </w:rPr>
            <w:fldChar w:fldCharType="separate"/>
          </w:r>
          <w:r>
            <w:rPr>
              <w:rFonts w:hint="eastAsia" w:ascii="楷体" w:hAnsi="楷体" w:eastAsia="楷体"/>
              <w:szCs w:val="24"/>
            </w:rPr>
            <w:t>铜：美指反弹压制短期铜价进一步上行动力</w:t>
          </w:r>
          <w:r>
            <w:rPr>
              <w:bCs/>
            </w:rPr>
            <w:fldChar w:fldCharType="end"/>
          </w:r>
        </w:p>
        <w:p>
          <w:pPr>
            <w:pStyle w:val="74"/>
            <w:tabs>
              <w:tab w:val="right" w:leader="dot" w:pos="8306"/>
            </w:tabs>
          </w:pPr>
          <w:r>
            <w:rPr>
              <w:bCs/>
            </w:rPr>
            <w:fldChar w:fldCharType="begin"/>
          </w:r>
          <w:r>
            <w:rPr>
              <w:bCs/>
            </w:rPr>
            <w:instrText xml:space="preserve"> HYPERLINK \l _Toc4914 </w:instrText>
          </w:r>
          <w:r>
            <w:rPr>
              <w:bCs/>
            </w:rPr>
            <w:fldChar w:fldCharType="separate"/>
          </w:r>
          <w:r>
            <w:rPr>
              <w:rFonts w:hint="eastAsia" w:ascii="楷体" w:hAnsi="楷体" w:eastAsia="楷体"/>
              <w:szCs w:val="24"/>
            </w:rPr>
            <w:t>铝：铝价上测前高承压</w:t>
          </w:r>
          <w:r>
            <w:rPr>
              <w:bCs/>
            </w:rPr>
            <w:fldChar w:fldCharType="end"/>
          </w:r>
        </w:p>
        <w:p>
          <w:pPr>
            <w:pStyle w:val="74"/>
            <w:tabs>
              <w:tab w:val="right" w:leader="dot" w:pos="8306"/>
            </w:tabs>
          </w:pPr>
          <w:r>
            <w:rPr>
              <w:bCs/>
            </w:rPr>
            <w:fldChar w:fldCharType="begin"/>
          </w:r>
          <w:r>
            <w:rPr>
              <w:bCs/>
            </w:rPr>
            <w:instrText xml:space="preserve"> HYPERLINK \l _Toc297 </w:instrText>
          </w:r>
          <w:r>
            <w:rPr>
              <w:bCs/>
            </w:rPr>
            <w:fldChar w:fldCharType="separate"/>
          </w:r>
          <w:r>
            <w:rPr>
              <w:rFonts w:hint="eastAsia" w:ascii="楷体" w:hAnsi="楷体" w:eastAsia="楷体"/>
              <w:szCs w:val="24"/>
            </w:rPr>
            <w:t>锌：锌价测试前高有压力，建议先观望</w:t>
          </w:r>
          <w:r>
            <w:rPr>
              <w:bCs/>
            </w:rPr>
            <w:fldChar w:fldCharType="end"/>
          </w:r>
        </w:p>
        <w:p>
          <w:pPr>
            <w:pStyle w:val="74"/>
            <w:tabs>
              <w:tab w:val="right" w:leader="dot" w:pos="8306"/>
            </w:tabs>
          </w:pPr>
          <w:r>
            <w:rPr>
              <w:bCs/>
            </w:rPr>
            <w:fldChar w:fldCharType="begin"/>
          </w:r>
          <w:r>
            <w:rPr>
              <w:bCs/>
            </w:rPr>
            <w:instrText xml:space="preserve"> HYPERLINK \l _Toc21343 </w:instrText>
          </w:r>
          <w:r>
            <w:rPr>
              <w:bCs/>
            </w:rPr>
            <w:fldChar w:fldCharType="separate"/>
          </w:r>
          <w:r>
            <w:rPr>
              <w:rFonts w:hint="eastAsia" w:ascii="楷体" w:hAnsi="楷体" w:eastAsia="楷体"/>
              <w:szCs w:val="24"/>
            </w:rPr>
            <w:t>镍：逢高沽空为宜</w:t>
          </w:r>
          <w:r>
            <w:rPr>
              <w:bCs/>
            </w:rPr>
            <w:fldChar w:fldCharType="end"/>
          </w:r>
        </w:p>
        <w:p>
          <w:pPr>
            <w:pStyle w:val="74"/>
            <w:tabs>
              <w:tab w:val="right" w:leader="dot" w:pos="8306"/>
            </w:tabs>
          </w:pPr>
          <w:r>
            <w:rPr>
              <w:bCs/>
            </w:rPr>
            <w:fldChar w:fldCharType="begin"/>
          </w:r>
          <w:r>
            <w:rPr>
              <w:bCs/>
            </w:rPr>
            <w:instrText xml:space="preserve"> HYPERLINK \l _Toc4702 </w:instrText>
          </w:r>
          <w:r>
            <w:rPr>
              <w:bCs/>
            </w:rPr>
            <w:fldChar w:fldCharType="separate"/>
          </w:r>
          <w:r>
            <w:rPr>
              <w:rFonts w:hint="eastAsia" w:ascii="楷体" w:hAnsi="楷体" w:eastAsia="楷体"/>
              <w:szCs w:val="24"/>
            </w:rPr>
            <w:t>不锈钢：需求疲弱及社库积累压制价格，但成本支撑犹存</w:t>
          </w:r>
          <w:r>
            <w:rPr>
              <w:bCs/>
            </w:rPr>
            <w:fldChar w:fldCharType="end"/>
          </w:r>
        </w:p>
        <w:p>
          <w:pPr>
            <w:pStyle w:val="74"/>
            <w:tabs>
              <w:tab w:val="right" w:leader="dot" w:pos="8306"/>
            </w:tabs>
          </w:pPr>
          <w:r>
            <w:rPr>
              <w:bCs/>
            </w:rPr>
            <w:fldChar w:fldCharType="begin"/>
          </w:r>
          <w:r>
            <w:rPr>
              <w:bCs/>
            </w:rPr>
            <w:instrText xml:space="preserve"> HYPERLINK \l _Toc22185 </w:instrText>
          </w:r>
          <w:r>
            <w:rPr>
              <w:bCs/>
            </w:rPr>
            <w:fldChar w:fldCharType="separate"/>
          </w:r>
          <w:r>
            <w:rPr>
              <w:rFonts w:hint="eastAsia" w:ascii="楷体" w:hAnsi="楷体" w:eastAsia="楷体"/>
              <w:szCs w:val="24"/>
            </w:rPr>
            <w:t>工业硅：现货市场暂未止跌，盘面或偏弱运行</w:t>
          </w:r>
          <w:r>
            <w:rPr>
              <w:bCs/>
            </w:rPr>
            <w:fldChar w:fldCharType="end"/>
          </w:r>
        </w:p>
        <w:p>
          <w:pPr>
            <w:pStyle w:val="59"/>
            <w:tabs>
              <w:tab w:val="right" w:leader="dot" w:pos="8306"/>
            </w:tabs>
          </w:pPr>
          <w:r>
            <w:rPr>
              <w:bCs/>
            </w:rPr>
            <w:fldChar w:fldCharType="begin"/>
          </w:r>
          <w:r>
            <w:rPr>
              <w:bCs/>
            </w:rPr>
            <w:instrText xml:space="preserve"> HYPERLINK \l _Toc24419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_Toc30745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基本面仍存利好叠加收储传闻 短期天胶或偏强运行</w:t>
          </w:r>
          <w:r>
            <w:rPr>
              <w:bCs/>
            </w:rPr>
            <w:fldChar w:fldCharType="end"/>
          </w:r>
        </w:p>
        <w:p>
          <w:pPr>
            <w:pStyle w:val="74"/>
            <w:tabs>
              <w:tab w:val="right" w:leader="dot" w:pos="8306"/>
            </w:tabs>
          </w:pPr>
          <w:r>
            <w:rPr>
              <w:bCs/>
            </w:rPr>
            <w:fldChar w:fldCharType="begin"/>
          </w:r>
          <w:r>
            <w:rPr>
              <w:bCs/>
            </w:rPr>
            <w:instrText xml:space="preserve"> HYPERLINK \l _Toc14905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74"/>
            <w:tabs>
              <w:tab w:val="right" w:leader="dot" w:pos="8306"/>
            </w:tabs>
          </w:pPr>
          <w:r>
            <w:rPr>
              <w:bCs/>
            </w:rPr>
            <w:fldChar w:fldCharType="begin"/>
          </w:r>
          <w:r>
            <w:rPr>
              <w:bCs/>
            </w:rPr>
            <w:instrText xml:space="preserve"> HYPERLINK \l _Toc8258 </w:instrText>
          </w:r>
          <w:r>
            <w:rPr>
              <w:bCs/>
            </w:rPr>
            <w:fldChar w:fldCharType="separate"/>
          </w:r>
          <w:r>
            <w:rPr>
              <w:rFonts w:hint="eastAsia" w:ascii="楷体" w:hAnsi="楷体" w:eastAsia="楷体"/>
              <w:szCs w:val="24"/>
            </w:rPr>
            <w:t>玻璃：现货继续下移，高供给下价格承压</w:t>
          </w:r>
          <w:r>
            <w:rPr>
              <w:bCs/>
            </w:rPr>
            <w:fldChar w:fldCharType="end"/>
          </w:r>
        </w:p>
        <w:p>
          <w:pPr>
            <w:pStyle w:val="74"/>
            <w:tabs>
              <w:tab w:val="right" w:leader="dot" w:pos="8306"/>
            </w:tabs>
          </w:pPr>
          <w:r>
            <w:rPr>
              <w:bCs/>
            </w:rPr>
            <w:fldChar w:fldCharType="begin"/>
          </w:r>
          <w:r>
            <w:rPr>
              <w:bCs/>
            </w:rPr>
            <w:instrText xml:space="preserve"> HYPERLINK \l _Toc13662 </w:instrText>
          </w:r>
          <w:r>
            <w:rPr>
              <w:bCs/>
            </w:rPr>
            <w:fldChar w:fldCharType="separate"/>
          </w:r>
          <w:r>
            <w:rPr>
              <w:rFonts w:hint="eastAsia" w:ascii="楷体" w:hAnsi="楷体" w:eastAsia="楷体"/>
              <w:szCs w:val="24"/>
            </w:rPr>
            <w:t>纯碱：阶段性补库后，期价再度进入抢跑节奏</w:t>
          </w:r>
          <w:r>
            <w:rPr>
              <w:bCs/>
            </w:rPr>
            <w:fldChar w:fldCharType="end"/>
          </w:r>
        </w:p>
        <w:p>
          <w:pPr>
            <w:pStyle w:val="59"/>
            <w:tabs>
              <w:tab w:val="right" w:leader="dot" w:pos="8306"/>
            </w:tabs>
          </w:pPr>
          <w:r>
            <w:rPr>
              <w:bCs/>
            </w:rPr>
            <w:fldChar w:fldCharType="begin"/>
          </w:r>
          <w:r>
            <w:rPr>
              <w:bCs/>
            </w:rPr>
            <w:instrText xml:space="preserve"> HYPERLINK \l _Toc31507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_Toc19140 </w:instrText>
          </w:r>
          <w:r>
            <w:rPr>
              <w:bCs/>
            </w:rPr>
            <w:fldChar w:fldCharType="separate"/>
          </w:r>
          <w:r>
            <w:rPr>
              <w:rFonts w:hint="eastAsia" w:ascii="楷体" w:hAnsi="楷体" w:eastAsia="楷体"/>
              <w:bCs/>
            </w:rPr>
            <w:t>玉米与淀粉：</w:t>
          </w:r>
          <w:r>
            <w:rPr>
              <w:rFonts w:hint="eastAsia" w:ascii="楷体" w:hAnsi="楷体" w:eastAsia="楷体"/>
            </w:rPr>
            <w:t>现货带动期价偏弱震荡</w:t>
          </w:r>
          <w:r>
            <w:rPr>
              <w:bCs/>
            </w:rPr>
            <w:fldChar w:fldCharType="end"/>
          </w:r>
        </w:p>
        <w:p>
          <w:pPr>
            <w:pStyle w:val="74"/>
            <w:tabs>
              <w:tab w:val="right" w:leader="dot" w:pos="8306"/>
            </w:tabs>
          </w:pPr>
          <w:r>
            <w:rPr>
              <w:bCs/>
            </w:rPr>
            <w:fldChar w:fldCharType="begin"/>
          </w:r>
          <w:r>
            <w:rPr>
              <w:bCs/>
            </w:rPr>
            <w:instrText xml:space="preserve"> HYPERLINK \l _Toc10614 </w:instrText>
          </w:r>
          <w:r>
            <w:rPr>
              <w:bCs/>
            </w:rPr>
            <w:fldChar w:fldCharType="separate"/>
          </w:r>
          <w:r>
            <w:rPr>
              <w:rFonts w:hint="eastAsia" w:ascii="楷体" w:hAnsi="楷体" w:eastAsia="楷体"/>
              <w:bCs/>
            </w:rPr>
            <w:t>畜禽养殖：现货带动期价多有回落</w:t>
          </w:r>
          <w:r>
            <w:rPr>
              <w:bCs/>
            </w:rPr>
            <w:fldChar w:fldCharType="end"/>
          </w:r>
        </w:p>
        <w:p>
          <w:pPr>
            <w:pStyle w:val="59"/>
            <w:tabs>
              <w:tab w:val="right" w:leader="dot" w:pos="8306"/>
            </w:tabs>
          </w:pPr>
          <w:r>
            <w:rPr>
              <w:bCs/>
            </w:rPr>
            <w:fldChar w:fldCharType="begin"/>
          </w:r>
          <w:r>
            <w:rPr>
              <w:bCs/>
            </w:rPr>
            <w:instrText xml:space="preserve"> HYPERLINK \l _Toc21377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_Toc13486 </w:instrText>
          </w:r>
          <w:r>
            <w:rPr>
              <w:bCs/>
            </w:rPr>
            <w:fldChar w:fldCharType="separate"/>
          </w:r>
          <w:r>
            <w:rPr>
              <w:rFonts w:hint="eastAsia" w:ascii="Times New Roman" w:hAnsi="Times New Roman" w:eastAsia="楷体"/>
              <w:szCs w:val="24"/>
            </w:rPr>
            <w:t>集运指数（欧线）：博弈盘后SCFI数据公布，本日波动或将加大</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7221"/>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1593"/>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短线震荡盘整为主</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两市指数持续反弹创新高，但沪指已经率先出现滞涨情况，同时技术指标MACD红柱缩短，暗示做多力量衰减，黄白线即将死叉，进入阻力重压区，一旦跌破重要支撑如沪指的3000点，则需降仓防守，防止指数进入调整节奏从而出现利润回撤的情况。3月基本面政策面向上弹性不足，但短期市场调整风险总体可控，市场大概率延续热点轮动的风格，操作难度较大，注意控制仓位，切忌盲目追涨杀跌。</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163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2510"/>
      <w:r>
        <w:rPr>
          <w:rFonts w:hint="eastAsia" w:ascii="Times New Roman" w:hAnsi="Times New Roman" w:eastAsia="楷体"/>
          <w:b/>
          <w:color w:val="000000" w:themeColor="text1"/>
          <w:sz w:val="24"/>
          <w:szCs w:val="24"/>
          <w14:textFill>
            <w14:solidFill>
              <w14:schemeClr w14:val="tx1"/>
            </w14:solidFill>
          </w14:textFill>
        </w:rPr>
        <w:t>贵金属：美国生产端通胀超预期，贵金属窄幅震荡</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跌0.24%至506.38元/克；沪银涨0.21%至6270元/千克。美国PPI数据超预期，2月PPI同比增1.6%，预期增1.1%，前值为增0.9%；环比增0.6%，预期增0.3%，前值增0.3%。核心PPI同比增2.0%，预期增1.9%，前值增2.0%；环比增0.3%，预期增0.2%，前值增0.5%。美国零售销售数据不及预期，2月零售销售环比增0.6%，预期增0.8%，前值为下降0.8%；核心零售销售环比增0.3%，预期增0.5%，前值降0.6%。美国上周初请失业金人数录得20.9万人，低于预期的21.8万，前值从21.7万修正为21万人。美联储本周进入噤声期，下周将公布3月议息决议。美国通胀维持韧性，消费表现偏弱，贵金属价格短线或区间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15842"/>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8111"/>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碳酸锂：Pilbara接受预拍卖报价，期价大幅下跌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现货价格小幅上涨，期价略微低开后盘初走平，午后大幅下跌近5%，尾盘进一步走弱，07合约收跌7.01%至112100元/吨，或受澳矿提前结束拍卖影响。澳洲Pilbara Minerals今日公告，该公司已接受一份按离岸价 (CIF) 中国SC5.5标准计价1106美元/吨的预拍卖报价，并与买方签订销售合同，报价相当于按CIF中国SC6.0标准计价约1200元/吨。Pilbara原计划于3月18日举行5000干吨锂辉石精矿拍卖，这批货物将于2024年12月的季度交付。预拍卖报价高于当前市场锂矿报价，但或仍不及市场预期，受此影响期价午后大幅下跌。上周数据显示，智利2月出口至国内锂盐量16058吨，环比增63.5%，同比增68.3%，1月前值为9819吨，此部分近期到港或对供应贡献增量。另外，龙头锂企Albemarle雅保亦宣布将于3月26日举行10000吨锂辉石精矿拍卖，后续关注拍卖成交情况，消息面因素扰动下期价波动或加剧。</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31575"/>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美指反弹压制短期铜价进一步上行动力</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(1)宏观：3月14日周四，美国劳工部数据显示，美国2月PPI超预期升温，同比上涨1.6%，前值为0.9%，预期为1.2%；PPI环比加速涨0.6%，是预期值的两倍，前值0.3%。</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(2)库存：3月14日，SHFE仓单库存186201吨，增7977吨；LME仓单库存108050吨，减875吨。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(3)精废价差：3月14日，Mysteel精废价差2490，扩张786。目前价差在合理价差1419之上。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2月PPI超预期升温，美元指数止跌反弹，压制铜价进一步上行动力。短期铜供应端扰动对价格仍有支撑，但仍需警惕后期可能的宏微观利空共振带来价格高位回落风险，一方面国内库存超预期累增，消费恢复缓慢，现实和预期差或给价格带来压力；另一方面，美联储降息预期调整仍将根据数据公布反复调整，且实际降息往往伴随经济走弱，不利铜价。操作上，建议前期多单逐步择高止盈，暂时观望。</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4914"/>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铝价上测前高承压</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PPI数据超预期表现，美指止跌修复，宏观情绪承压。基本面供应整体保持稳定，需求旺季消费有乐观预期，推动铝价上测19300附近前高位置，供需无明显交易矛盾，库存去库节奏放缓，短期向上突破动力有限，预计在19000附近震荡运行，建议等待明朗趋势再参与交易。</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297"/>
      <w:r>
        <w:rPr>
          <w:rFonts w:hint="eastAsia" w:ascii="楷体" w:hAnsi="楷体" w:eastAsia="楷体"/>
          <w:b/>
          <w:color w:val="000000" w:themeColor="text1"/>
          <w:sz w:val="24"/>
          <w:szCs w:val="24"/>
          <w14:textFill>
            <w14:solidFill>
              <w14:schemeClr w14:val="tx1"/>
            </w14:solidFill>
          </w14:textFill>
        </w:rPr>
        <w:t>锌：锌价测试前高有压力，建议先观望</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元指数止跌反弹，暂无更多宏观利好释放，供应端有矿端减产扰动，部门地区检修停产，3月月度产量预计同比下滑，终端需求在旺季消费叠加两会后可能针对地产基建有利多政策的预期下有所好转，下游开工率回升，锌价上涨测试前高，目前价格前高压力位难以突破，建议先观望为主。</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1343"/>
      <w:r>
        <w:rPr>
          <w:rFonts w:hint="eastAsia" w:ascii="楷体" w:hAnsi="楷体" w:eastAsia="楷体"/>
          <w:b/>
          <w:color w:val="000000" w:themeColor="text1"/>
          <w:sz w:val="24"/>
          <w:szCs w:val="24"/>
          <w14:textFill>
            <w14:solidFill>
              <w14:schemeClr w14:val="tx1"/>
            </w14:solidFill>
          </w14:textFill>
        </w:rPr>
        <w:t>镍：逢高沽空为宜</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回顾前几日镍价偏强的驱动因素：一、美联储降息预期升温，美元指数维持弱势，宏观情绪整体偏多。二、中间品及硫酸镍处于阶段性供需偏紧局势，因此价格偏强运行，镍价成本支撑走强。三、短期印尼镍矿资源仍偏紧，但印尼官员也表示能矿部计划在3月底前完成所有采矿RKAB审批。四、新能源汽车市场需求好转，近期三元材料补库较积极。然而，美元指数昨日止跌反弹，宏观情绪边际转弱，加上精炼镍产能继续释放，镍供应显著过剩的产业格局未有改变，社会库存维持累库趋势，镍价反弹空间有限，需警惕回落风险，建议持逢高沽空思路。</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4702"/>
      <w:r>
        <w:rPr>
          <w:rFonts w:hint="eastAsia" w:ascii="楷体" w:hAnsi="楷体" w:eastAsia="楷体"/>
          <w:b/>
          <w:color w:val="000000" w:themeColor="text1"/>
          <w:sz w:val="24"/>
          <w:szCs w:val="24"/>
          <w14:textFill>
            <w14:solidFill>
              <w14:schemeClr w14:val="tx1"/>
            </w14:solidFill>
          </w14:textFill>
        </w:rPr>
        <w:t>不锈钢：需求疲弱及社库积累压制价格，但成本支撑犹存</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元指数止跌反弹，海外宏观情绪边际转弱。从成本来看，印尼镍矿RKAB审批缓慢使得印尼镍矿资源偏紧，为短期镍矿和镍铁价格形成支撑，据Mysteel测算，300系不锈钢成本在13600元/吨左右，预计三月底印尼镍矿审批速度将加快，届时镍矿及镍铁价格存下跌空间。从供需来看，不锈钢厂将陆续复产，据Mysteel预估，国内43家不锈钢厂粗钢3月排产312.03万吨，月环比增加21.4%，而节后下游成交多以刚需采购为主，需求表现偏弱，上周社会库存累库5.04%。综合而言，当前不锈钢价格的逻辑因素主要在于弱需求与高成本的矛盾，需求疲弱对价格带来压制，但成本支撑较强，不锈钢下方空间有限，支撑位参考13500元/吨，持续关注需求状况及印尼镍矿RKAB审批进展。</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2218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现货市场暂未止跌，盘面或偏弱运行</w:t>
      </w:r>
      <w:bookmarkEnd w:id="27"/>
    </w:p>
    <w:p>
      <w:pPr>
        <w:ind w:left="630" w:leftChars="300"/>
        <w:rPr>
          <w:rFonts w:ascii="楷体" w:hAnsi="楷体" w:eastAsia="楷体"/>
          <w:sz w:val="24"/>
          <w:szCs w:val="24"/>
        </w:rPr>
      </w:pPr>
      <w:r>
        <w:rPr>
          <w:rFonts w:hint="eastAsia" w:ascii="楷体" w:hAnsi="楷体" w:eastAsia="楷体"/>
          <w:sz w:val="24"/>
          <w:szCs w:val="24"/>
        </w:rPr>
        <w:t>3月14日，Si2405主力合约呈下行走势，收盘价13230元/吨，较上一收盘价涨跌幅-0.15%。据市场反馈，近期现货市场成交有所回暖，但回暖速度不及预期，以及采购方存在明显压价情绪，在库存压力下，部分卖方存在降价成交行为。目前，现货市场暂未出现明显止跌企稳迹象，预计盘面或将震荡偏弱运行。</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24419"/>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30745"/>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基本面仍存利好叠加收储传闻 短期天胶或偏强运行</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下游开工继续提升，但缺乏实质增量驱动，对原材料采购仍存谨慎态度，基本面表现仍存利好叠加收储炒作提振市场氛围，短期天然橡胶价格维持偏强运行，但上行空间存疑。</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4905"/>
      <w:r>
        <w:rPr>
          <w:rFonts w:hint="eastAsia" w:ascii="楷体" w:hAnsi="楷体" w:eastAsia="楷体"/>
          <w:b/>
          <w:color w:val="000000" w:themeColor="text1"/>
          <w:sz w:val="24"/>
          <w:szCs w:val="24"/>
          <w14:textFill>
            <w14:solidFill>
              <w14:schemeClr w14:val="tx1"/>
            </w14:solidFill>
          </w14:textFill>
        </w:rPr>
        <w:t>聚烯烃：市场多空因素交织，PE整体强于PP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上游石化库存为99万吨，较春节前累库41.5万吨，与去年同期相比增幅较大，库存压力较大。聚烯烃自身开工负荷变动不大，但下游进入集中停工期，春节期间开工率大幅走低，需求降至年内冰点。进口方面，LL进口窗口打开，PP进口窗口关闭。聚烯烃基本面变动不大，在地膜即将进入旺产季之时，建议逢低多L，逢高空PP性价比更高。</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8258"/>
      <w:r>
        <w:rPr>
          <w:rFonts w:hint="eastAsia" w:ascii="楷体" w:hAnsi="楷体" w:eastAsia="楷体"/>
          <w:b/>
          <w:color w:val="000000" w:themeColor="text1"/>
          <w:sz w:val="24"/>
          <w:szCs w:val="24"/>
          <w14:textFill>
            <w14:solidFill>
              <w14:schemeClr w14:val="tx1"/>
            </w14:solidFill>
          </w14:textFill>
        </w:rPr>
        <w:t>玻璃：现货继续下移，高供给下价格承压</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3月12日报道：今日浮法玻璃现货价格1920元/吨，较上一交易日-1元/吨。供给上，截至2024年3月14日，全国浮法玻璃日产量为17.54万吨，比3月7日+0.98%。库存上，截止到20240314，全国浮法玻璃样本企业总库存6278.3万重箱，环比+354万重箱，环比+5.98%，从本周产销来看，延续疲软态势，延续累库。从需求看，下游恢复较慢，上游沙河湖北主产区原片厂和中游贸易商库存降价清库存，下游回款差，补库谨慎，刚需为主。盘面上受周末现货降价影响，期价跌破年线后继续下行，弱需求下短线情绪偏空，厂家在成本线附近挺价意愿较强，多有出台保价政策，但高供给下现货价格承压，后市可关注1500-1550附近成本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13662"/>
      <w:r>
        <w:rPr>
          <w:rFonts w:hint="eastAsia" w:ascii="楷体" w:hAnsi="楷体" w:eastAsia="楷体"/>
          <w:b/>
          <w:color w:val="000000" w:themeColor="text1"/>
          <w:sz w:val="24"/>
          <w:szCs w:val="24"/>
          <w14:textFill>
            <w14:solidFill>
              <w14:schemeClr w14:val="tx1"/>
            </w14:solidFill>
          </w14:textFill>
        </w:rPr>
        <w:t>纯碱：阶段性补库后，期价再度进入抢跑节奏</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周内纯碱现货端稳价，华中、华北重碱价格在1950-2000元/吨附近成交较多，消息面上碱厂联合挺价，轻碱销售较好，但临近周末，补库积极性减弱。从供给端来看，隆众资讯3月14日报道：周纯碱产量73.31万吨，环比减少1.40万吨，跌幅1.87%，3月中下旬有部分检修计划检修，同期青海地区产量回升，预计周度产量维持在72-73万吨附近。从库存上看，截止到2024年3月14日，本周国内纯碱厂家总库存79.27万吨，环比周一下降0.40万吨，降幅0.50%。需求上，玻璃厂重碱有进口碱补充，维持刚需；轻碱价格回升，刺激下游开始补库，但轻碱补库空间有限，大规模集中补库或难以长时间持续。盘面的上周受到消息面和去库刺激反弹，但本周轻碱下游补库后积极性明显回落，重碱供给高位，玻璃厂对高价抵制心态较强，去库幅度边际走弱，期价再度进入抢跑模式，操作上，建议高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31507"/>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19140"/>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现货带动期价偏弱震荡</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节后以来期现货上涨之后，期价转为震荡调整，市场可能存在两个方面的担忧，其一是担心为后期气温上升之后，余粮特别是地趴粮带来的供应压力；其二是担心进口储备投放，再加上国内价格上涨使得内外价差走扩，市场会担心进口增量来补充国内玉米产需缺口。换句话说，市场短期会再度担心阶段性供应压力，中长期产需缺口预期转变亦尚未成为市场共识，这需要市场逐步证实。我们维持谨慎看多观点，建议投资者持有前期多单，如无前期多单则可考虑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收窄主要源于副产品端，即蛋白粕大幅反弹带来副产品价格回升的担忧，但其他三个方面暂存在支撑，行业供需中淀粉行业库存已经连续两周下滑，原料端华北-东北玉米价差小幅走扩，而现货基差则再度走强。在我们看来，考虑到盘面生产利润已进入亏损状况，在副产品和行业供需尚未确认之前，暂不适合入场做缩淀粉-玉米价差。综上所述，我们持谨慎看多观点，建议节前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10614"/>
      <w:r>
        <w:rPr>
          <w:rFonts w:hint="eastAsia" w:ascii="楷体" w:hAnsi="楷体" w:eastAsia="楷体"/>
          <w:b/>
          <w:bCs/>
          <w:color w:val="000000" w:themeColor="text1"/>
          <w14:textFill>
            <w14:solidFill>
              <w14:schemeClr w14:val="tx1"/>
            </w14:solidFill>
          </w14:textFill>
        </w:rPr>
        <w:t>畜禽养殖：现货带动期价多有回落</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目前期价结构呈现远月升水结构，表明市场对远期供需预期趋于乐观，这主要源于产能去化即能繁母猪存栏的持续下降，但市场对其改善幅度存在分歧，特别是春节前仔猪现货价格大幅上涨之后，因其使得母猪养殖变得盈利，这将抑制产能的继续去化。而对于近期供需而言 ，从农业农村部公布的四季度末生猪存栏可以看出，生猪供应有望低于去年同期，但考虑到需求季节性因素，能否改变供需格局尚未可知，去年四季度豆粕和玉米的大幅下跌，生猪养殖饲料成本显著低于去年同期，在这种供需格局和饲料成本的背景下，接下来的现货涨幅存在不确定性。当前期价近强远弱，近月基差走弱，而远月基差走强，表明市场相对看多近月，这主要源于市场的惜售心理和潜在的二次育肥，这种走势与去年2月期间颇为相似，在这种情况下，需要特别留意接下来的现货走势。据此我们维持中性观点，建议谨慎投资者观望，激进投资者可以考虑短线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分析市场可以看出，节前期价持续下跌，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养殖户淘汰积极性持续较高。考虑到节后现货已季节性回落，中期与短期利空因素或已经在很大程度上得以释放，继续下跌空间或有限，接下来或震荡反弹或趋于调整。我们维持中性观点，建议投资者观望，可考虑参与短线操作。</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7" w:name="_Toc21377"/>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13486"/>
      <w:r>
        <w:rPr>
          <w:rFonts w:hint="eastAsia" w:ascii="Times New Roman" w:hAnsi="Times New Roman" w:eastAsia="楷体"/>
          <w:b/>
          <w:color w:val="000000" w:themeColor="text1"/>
          <w:sz w:val="24"/>
          <w:szCs w:val="24"/>
          <w14:textFill>
            <w14:solidFill>
              <w14:schemeClr w14:val="tx1"/>
            </w14:solidFill>
          </w14:textFill>
        </w:rPr>
        <w:t>集运指数（欧线）：博弈盘后SCFI数据公布，本日波动或将加大</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周一公布SCFIS欧洲航线运价指数为2533.68点，环比下行11.1%。目前主力合约贴水标的现货指数近700点，基差进一步得到收敛。目前现货处于下行区间。</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目前哈以谈判尚无结果，双方均维持强硬态度，预计斋月停火预期基本落空，中东紧张局势暂无缓和迹象。同时根据最新消息达飞重新评估红海南部地区的情况，考虑个别船只通航红海。</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春节后工厂开工、货运需求进入淡季。因此周期性因素拖动EC转弱势，但目前期价贴水仍然较深，同时目前至4月交割日时间有限，现货价格逐步向下收敛。本日将博弈SCFI数据出炉，预计市场波动稍扩大，投资者交易保持谨慎。</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19667"/>
      <w:bookmarkStart w:id="40" w:name="_Toc12779"/>
      <w:bookmarkStart w:id="41" w:name="_Toc98426751"/>
      <w:bookmarkStart w:id="42" w:name="_Toc72481108"/>
      <w:bookmarkStart w:id="43" w:name="_Toc71212556"/>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2024年3月15日星期五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1FDC1B35"/>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A303B9"/>
    <w:rsid w:val="2B9C319C"/>
    <w:rsid w:val="2C1D776C"/>
    <w:rsid w:val="2C453820"/>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63E0D"/>
    <w:rsid w:val="44092E2E"/>
    <w:rsid w:val="441077D2"/>
    <w:rsid w:val="44396064"/>
    <w:rsid w:val="459609D9"/>
    <w:rsid w:val="45A37566"/>
    <w:rsid w:val="45CF0A85"/>
    <w:rsid w:val="46194A11"/>
    <w:rsid w:val="47752ACA"/>
    <w:rsid w:val="47C813F2"/>
    <w:rsid w:val="4A6F6249"/>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7F46FBE"/>
    <w:rsid w:val="58042686"/>
    <w:rsid w:val="58246D5D"/>
    <w:rsid w:val="58EC5960"/>
    <w:rsid w:val="59151C86"/>
    <w:rsid w:val="59C52328"/>
    <w:rsid w:val="5AD37D8A"/>
    <w:rsid w:val="5B906095"/>
    <w:rsid w:val="5BF60A75"/>
    <w:rsid w:val="5C9F2D01"/>
    <w:rsid w:val="5D5617A6"/>
    <w:rsid w:val="5D716329"/>
    <w:rsid w:val="5EA23F15"/>
    <w:rsid w:val="5EA7685B"/>
    <w:rsid w:val="5ED40954"/>
    <w:rsid w:val="60BE22C5"/>
    <w:rsid w:val="612C30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79454F"/>
    <w:rsid w:val="6FE61065"/>
    <w:rsid w:val="70675779"/>
    <w:rsid w:val="713E0334"/>
    <w:rsid w:val="716F5E64"/>
    <w:rsid w:val="72417AFE"/>
    <w:rsid w:val="729B5F03"/>
    <w:rsid w:val="72D92B78"/>
    <w:rsid w:val="72F62A89"/>
    <w:rsid w:val="737357AF"/>
    <w:rsid w:val="74163BE4"/>
    <w:rsid w:val="75292EAC"/>
    <w:rsid w:val="755A5FEF"/>
    <w:rsid w:val="75775016"/>
    <w:rsid w:val="758E0106"/>
    <w:rsid w:val="7626762C"/>
    <w:rsid w:val="778F5135"/>
    <w:rsid w:val="77B53D6B"/>
    <w:rsid w:val="77D54B08"/>
    <w:rsid w:val="784F7772"/>
    <w:rsid w:val="78713929"/>
    <w:rsid w:val="78E55995"/>
    <w:rsid w:val="79267C0B"/>
    <w:rsid w:val="79C90FB7"/>
    <w:rsid w:val="7A5B105F"/>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2024-03-15T03:09:31Z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