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楷体" w:cs="Times New Roman"/>
          <w:b/>
          <w:color w:val="823C0B"/>
          <w:sz w:val="32"/>
          <w:szCs w:val="32"/>
        </w:rPr>
      </w:pPr>
      <w:bookmarkStart w:id="0" w:name="_top"/>
      <w:bookmarkEnd w:id="0"/>
      <w:r>
        <w:rPr>
          <w:rFonts w:ascii="Times New Roman" w:hAnsi="Times New Roman" w:eastAsia="楷体" w:cs="Times New Roman"/>
          <w:b/>
          <w:color w:val="823C0B"/>
          <w:sz w:val="32"/>
          <w:szCs w:val="32"/>
        </w:rPr>
        <w:t>广州期货早间直通车</w:t>
      </w:r>
    </w:p>
    <w:p>
      <w:pPr>
        <w:jc w:val="right"/>
        <w:rPr>
          <w:rFonts w:ascii="Times New Roman" w:hAnsi="Times New Roman" w:eastAsia="楷体" w:cs="Times New Roman"/>
          <w:b/>
          <w:color w:val="823C0B"/>
          <w:sz w:val="24"/>
        </w:rPr>
      </w:pPr>
    </w:p>
    <w:p>
      <w:pPr>
        <w:jc w:val="center"/>
        <w:rPr>
          <w:rFonts w:ascii="Times New Roman" w:hAnsi="Times New Roman" w:eastAsia="楷体" w:cs="Times New Roman"/>
          <w:b/>
          <w:color w:val="823C0B"/>
          <w:sz w:val="24"/>
        </w:rPr>
      </w:pPr>
      <w:r>
        <w:rPr>
          <w:rFonts w:ascii="Times New Roman" w:hAnsi="Times New Roman" w:eastAsia="楷体" w:cs="Times New Roman"/>
          <w:b/>
          <w:color w:val="823C0B"/>
          <w:sz w:val="24"/>
        </w:rPr>
        <w:t>投资咨询业务资格：证监许可【2012】1497号</w:t>
      </w:r>
    </w:p>
    <w:p>
      <w:pPr>
        <w:jc w:val="center"/>
        <w:rPr>
          <w:rFonts w:ascii="Times New Roman" w:hAnsi="Times New Roman" w:eastAsia="楷体"/>
          <w:b/>
        </w:rPr>
      </w:pPr>
      <w:r>
        <w:rPr>
          <w:rFonts w:hint="eastAsia" w:ascii="Times New Roman" w:hAnsi="Times New Roman" w:eastAsia="楷体"/>
          <w:b/>
          <w:color w:val="823C0B"/>
          <w:sz w:val="30"/>
          <w:szCs w:val="30"/>
        </w:rPr>
        <w:t>评论品种一览</w:t>
      </w:r>
    </w:p>
    <w:sdt>
      <w:sdtPr>
        <w:rPr>
          <w:rFonts w:eastAsia="宋体" w:asciiTheme="minorHAnsi" w:hAnsiTheme="minorHAnsi" w:cstheme="minorBidi"/>
          <w:b/>
          <w:bCs/>
          <w:color w:val="auto"/>
          <w:kern w:val="2"/>
          <w:sz w:val="21"/>
          <w:szCs w:val="21"/>
          <w:lang w:val="zh-CN"/>
        </w:rPr>
        <w:id w:val="1355533930"/>
        <w:docPartObj>
          <w:docPartGallery w:val="Table of Contents"/>
          <w:docPartUnique/>
        </w:docPartObj>
      </w:sdtPr>
      <w:sdtEndPr>
        <w:rPr>
          <w:rFonts w:eastAsia="宋体" w:asciiTheme="minorHAnsi" w:hAnsiTheme="minorHAnsi" w:cstheme="minorBidi"/>
          <w:b/>
          <w:bCs/>
          <w:color w:val="auto"/>
          <w:kern w:val="2"/>
          <w:sz w:val="21"/>
          <w:szCs w:val="21"/>
          <w:lang w:val="zh-CN"/>
        </w:rPr>
      </w:sdtEndPr>
      <w:sdtContent>
        <w:p>
          <w:pPr>
            <w:pStyle w:val="98"/>
            <w:rPr>
              <w:b/>
              <w:bCs/>
            </w:rPr>
          </w:pPr>
        </w:p>
        <w:p>
          <w:pPr>
            <w:pStyle w:val="59"/>
            <w:tabs>
              <w:tab w:val="right" w:leader="dot" w:pos="8306"/>
            </w:tabs>
          </w:pPr>
          <w:r>
            <w:rPr>
              <w:b/>
              <w:bCs/>
            </w:rPr>
            <w:fldChar w:fldCharType="begin"/>
          </w:r>
          <w:r>
            <w:rPr>
              <w:b/>
              <w:bCs/>
            </w:rPr>
            <w:instrText xml:space="preserve"> TOC \o "1-3" \n \h \z \u </w:instrText>
          </w:r>
          <w:r>
            <w:rPr>
              <w:b/>
              <w:bCs/>
            </w:rPr>
            <w:fldChar w:fldCharType="separate"/>
          </w:r>
          <w:r>
            <w:rPr>
              <w:bCs/>
            </w:rPr>
            <w:fldChar w:fldCharType="begin"/>
          </w:r>
          <w:r>
            <w:rPr>
              <w:bCs/>
            </w:rPr>
            <w:instrText xml:space="preserve"> HYPERLINK \l _Toc19860 </w:instrText>
          </w:r>
          <w:r>
            <w:rPr>
              <w:bCs/>
            </w:rPr>
            <w:fldChar w:fldCharType="separate"/>
          </w:r>
          <w:r>
            <w:rPr>
              <w:rFonts w:hint="eastAsia" w:ascii="Times New Roman" w:hAnsi="Times New Roman" w:eastAsia="楷体"/>
              <w:szCs w:val="30"/>
            </w:rPr>
            <w:t>[金融]</w:t>
          </w:r>
          <w:r>
            <w:rPr>
              <w:bCs/>
            </w:rPr>
            <w:fldChar w:fldCharType="end"/>
          </w:r>
        </w:p>
        <w:p>
          <w:pPr>
            <w:pStyle w:val="74"/>
            <w:tabs>
              <w:tab w:val="right" w:leader="dot" w:pos="8306"/>
            </w:tabs>
          </w:pPr>
          <w:r>
            <w:rPr>
              <w:bCs/>
            </w:rPr>
            <w:fldChar w:fldCharType="begin"/>
          </w:r>
          <w:r>
            <w:rPr>
              <w:bCs/>
            </w:rPr>
            <w:instrText xml:space="preserve"> HYPERLINK \l _Toc6624 </w:instrText>
          </w:r>
          <w:r>
            <w:rPr>
              <w:bCs/>
            </w:rPr>
            <w:fldChar w:fldCharType="separate"/>
          </w:r>
          <w:r>
            <w:rPr>
              <w:rFonts w:hint="eastAsia" w:ascii="Times New Roman" w:hAnsi="Times New Roman" w:eastAsia="楷体"/>
              <w:szCs w:val="24"/>
            </w:rPr>
            <w:t>股指：待盘整后低多</w:t>
          </w:r>
          <w:r>
            <w:rPr>
              <w:bCs/>
            </w:rPr>
            <w:fldChar w:fldCharType="end"/>
          </w:r>
        </w:p>
        <w:p>
          <w:pPr>
            <w:pStyle w:val="59"/>
            <w:tabs>
              <w:tab w:val="right" w:leader="dot" w:pos="8306"/>
            </w:tabs>
          </w:pPr>
          <w:r>
            <w:rPr>
              <w:bCs/>
            </w:rPr>
            <w:fldChar w:fldCharType="begin"/>
          </w:r>
          <w:r>
            <w:rPr>
              <w:bCs/>
            </w:rPr>
            <w:instrText xml:space="preserve"> HYPERLINK \l _Toc26688 </w:instrText>
          </w:r>
          <w:r>
            <w:rPr>
              <w:bCs/>
            </w:rPr>
            <w:fldChar w:fldCharType="separate"/>
          </w:r>
          <w:r>
            <w:rPr>
              <w:rFonts w:hint="eastAsia" w:ascii="Times New Roman" w:hAnsi="Times New Roman" w:eastAsia="楷体"/>
              <w:szCs w:val="30"/>
            </w:rPr>
            <w:t>[贵金属]</w:t>
          </w:r>
          <w:r>
            <w:rPr>
              <w:bCs/>
            </w:rPr>
            <w:fldChar w:fldCharType="end"/>
          </w:r>
        </w:p>
        <w:p>
          <w:pPr>
            <w:pStyle w:val="74"/>
            <w:tabs>
              <w:tab w:val="right" w:leader="dot" w:pos="8306"/>
            </w:tabs>
          </w:pPr>
          <w:r>
            <w:rPr>
              <w:bCs/>
            </w:rPr>
            <w:fldChar w:fldCharType="begin"/>
          </w:r>
          <w:r>
            <w:rPr>
              <w:bCs/>
            </w:rPr>
            <w:instrText xml:space="preserve"> HYPERLINK \l _Toc4802 </w:instrText>
          </w:r>
          <w:r>
            <w:rPr>
              <w:bCs/>
            </w:rPr>
            <w:fldChar w:fldCharType="separate"/>
          </w:r>
          <w:r>
            <w:rPr>
              <w:rFonts w:hint="eastAsia" w:ascii="Times New Roman" w:hAnsi="Times New Roman" w:eastAsia="楷体"/>
              <w:szCs w:val="24"/>
            </w:rPr>
            <w:t>贵金属：美国CPI通胀略超预期，贵金属价格小幅回落</w:t>
          </w:r>
          <w:r>
            <w:rPr>
              <w:bCs/>
            </w:rPr>
            <w:fldChar w:fldCharType="end"/>
          </w:r>
        </w:p>
        <w:p>
          <w:pPr>
            <w:pStyle w:val="59"/>
            <w:tabs>
              <w:tab w:val="right" w:leader="dot" w:pos="8306"/>
            </w:tabs>
          </w:pPr>
          <w:r>
            <w:rPr>
              <w:bCs/>
            </w:rPr>
            <w:fldChar w:fldCharType="begin"/>
          </w:r>
          <w:r>
            <w:rPr>
              <w:bCs/>
            </w:rPr>
            <w:instrText xml:space="preserve"> HYPERLINK \l _Toc1035 </w:instrText>
          </w:r>
          <w:r>
            <w:rPr>
              <w:bCs/>
            </w:rPr>
            <w:fldChar w:fldCharType="separate"/>
          </w:r>
          <w:r>
            <w:rPr>
              <w:rFonts w:hint="eastAsia" w:ascii="Times New Roman" w:hAnsi="Times New Roman" w:eastAsia="楷体"/>
              <w:szCs w:val="30"/>
            </w:rPr>
            <w:t>[金属]</w:t>
          </w:r>
          <w:r>
            <w:rPr>
              <w:bCs/>
            </w:rPr>
            <w:fldChar w:fldCharType="end"/>
          </w:r>
        </w:p>
        <w:p>
          <w:pPr>
            <w:pStyle w:val="74"/>
            <w:tabs>
              <w:tab w:val="right" w:leader="dot" w:pos="8306"/>
            </w:tabs>
          </w:pPr>
          <w:r>
            <w:rPr>
              <w:bCs/>
            </w:rPr>
            <w:fldChar w:fldCharType="begin"/>
          </w:r>
          <w:r>
            <w:rPr>
              <w:bCs/>
            </w:rPr>
            <w:instrText xml:space="preserve"> HYPERLINK \l _Toc2229 </w:instrText>
          </w:r>
          <w:r>
            <w:rPr>
              <w:bCs/>
            </w:rPr>
            <w:fldChar w:fldCharType="separate"/>
          </w:r>
          <w:r>
            <w:rPr>
              <w:rFonts w:hint="eastAsia" w:ascii="楷体" w:hAnsi="楷体" w:eastAsia="楷体"/>
              <w:szCs w:val="24"/>
            </w:rPr>
            <w:t>碳酸锂：二月动力电池装车量下降，期价维持上涨</w:t>
          </w:r>
          <w:r>
            <w:rPr>
              <w:bCs/>
            </w:rPr>
            <w:fldChar w:fldCharType="end"/>
          </w:r>
        </w:p>
        <w:p>
          <w:pPr>
            <w:pStyle w:val="74"/>
            <w:tabs>
              <w:tab w:val="right" w:leader="dot" w:pos="8306"/>
            </w:tabs>
          </w:pPr>
          <w:r>
            <w:rPr>
              <w:bCs/>
            </w:rPr>
            <w:fldChar w:fldCharType="begin"/>
          </w:r>
          <w:r>
            <w:rPr>
              <w:bCs/>
            </w:rPr>
            <w:instrText xml:space="preserve"> HYPERLINK \l _Toc12374 </w:instrText>
          </w:r>
          <w:r>
            <w:rPr>
              <w:bCs/>
            </w:rPr>
            <w:fldChar w:fldCharType="separate"/>
          </w:r>
          <w:r>
            <w:rPr>
              <w:rFonts w:hint="eastAsia" w:ascii="楷体" w:hAnsi="楷体" w:eastAsia="楷体"/>
              <w:szCs w:val="24"/>
            </w:rPr>
            <w:t>铜：短期维持高位运行</w:t>
          </w:r>
          <w:r>
            <w:rPr>
              <w:bCs/>
            </w:rPr>
            <w:fldChar w:fldCharType="end"/>
          </w:r>
        </w:p>
        <w:p>
          <w:pPr>
            <w:pStyle w:val="74"/>
            <w:tabs>
              <w:tab w:val="right" w:leader="dot" w:pos="8306"/>
            </w:tabs>
          </w:pPr>
          <w:r>
            <w:rPr>
              <w:bCs/>
            </w:rPr>
            <w:fldChar w:fldCharType="begin"/>
          </w:r>
          <w:r>
            <w:rPr>
              <w:bCs/>
            </w:rPr>
            <w:instrText xml:space="preserve"> HYPERLINK \l _Toc6922 </w:instrText>
          </w:r>
          <w:r>
            <w:rPr>
              <w:bCs/>
            </w:rPr>
            <w:fldChar w:fldCharType="separate"/>
          </w:r>
          <w:r>
            <w:rPr>
              <w:rFonts w:hint="eastAsia" w:ascii="楷体" w:hAnsi="楷体" w:eastAsia="楷体"/>
              <w:szCs w:val="24"/>
            </w:rPr>
            <w:t>铝：铝价上测前高，建议空仓等待明朗趋势</w:t>
          </w:r>
          <w:r>
            <w:rPr>
              <w:bCs/>
            </w:rPr>
            <w:fldChar w:fldCharType="end"/>
          </w:r>
        </w:p>
        <w:p>
          <w:pPr>
            <w:pStyle w:val="74"/>
            <w:tabs>
              <w:tab w:val="right" w:leader="dot" w:pos="8306"/>
            </w:tabs>
          </w:pPr>
          <w:r>
            <w:rPr>
              <w:bCs/>
            </w:rPr>
            <w:fldChar w:fldCharType="begin"/>
          </w:r>
          <w:r>
            <w:rPr>
              <w:bCs/>
            </w:rPr>
            <w:instrText xml:space="preserve"> HYPERLINK \l _Toc28378 </w:instrText>
          </w:r>
          <w:r>
            <w:rPr>
              <w:bCs/>
            </w:rPr>
            <w:fldChar w:fldCharType="separate"/>
          </w:r>
          <w:r>
            <w:rPr>
              <w:rFonts w:hint="eastAsia" w:ascii="楷体" w:hAnsi="楷体" w:eastAsia="楷体"/>
              <w:szCs w:val="24"/>
            </w:rPr>
            <w:t>锌：锌价阶段高位，建议观望</w:t>
          </w:r>
          <w:r>
            <w:rPr>
              <w:bCs/>
            </w:rPr>
            <w:fldChar w:fldCharType="end"/>
          </w:r>
        </w:p>
        <w:p>
          <w:pPr>
            <w:pStyle w:val="74"/>
            <w:tabs>
              <w:tab w:val="right" w:leader="dot" w:pos="8306"/>
            </w:tabs>
          </w:pPr>
          <w:r>
            <w:rPr>
              <w:bCs/>
            </w:rPr>
            <w:fldChar w:fldCharType="begin"/>
          </w:r>
          <w:r>
            <w:rPr>
              <w:bCs/>
            </w:rPr>
            <w:instrText xml:space="preserve"> HYPERLINK \l _Toc8473 </w:instrText>
          </w:r>
          <w:r>
            <w:rPr>
              <w:bCs/>
            </w:rPr>
            <w:fldChar w:fldCharType="separate"/>
          </w:r>
          <w:r>
            <w:rPr>
              <w:rFonts w:hint="eastAsia" w:ascii="楷体" w:hAnsi="楷体" w:eastAsia="楷体"/>
              <w:szCs w:val="24"/>
            </w:rPr>
            <w:t>镍：逢高沽空为宜</w:t>
          </w:r>
          <w:r>
            <w:rPr>
              <w:bCs/>
            </w:rPr>
            <w:fldChar w:fldCharType="end"/>
          </w:r>
        </w:p>
        <w:p>
          <w:pPr>
            <w:pStyle w:val="74"/>
            <w:tabs>
              <w:tab w:val="right" w:leader="dot" w:pos="8306"/>
            </w:tabs>
          </w:pPr>
          <w:r>
            <w:rPr>
              <w:bCs/>
            </w:rPr>
            <w:fldChar w:fldCharType="begin"/>
          </w:r>
          <w:r>
            <w:rPr>
              <w:bCs/>
            </w:rPr>
            <w:instrText xml:space="preserve"> HYPERLINK \l _Toc7393 </w:instrText>
          </w:r>
          <w:r>
            <w:rPr>
              <w:bCs/>
            </w:rPr>
            <w:fldChar w:fldCharType="separate"/>
          </w:r>
          <w:r>
            <w:rPr>
              <w:rFonts w:hint="eastAsia" w:ascii="楷体" w:hAnsi="楷体" w:eastAsia="楷体"/>
              <w:szCs w:val="24"/>
            </w:rPr>
            <w:t>不锈钢：成本支撑与需求疲弱构成矛盾，价格下方空间有限</w:t>
          </w:r>
          <w:r>
            <w:rPr>
              <w:bCs/>
            </w:rPr>
            <w:fldChar w:fldCharType="end"/>
          </w:r>
        </w:p>
        <w:p>
          <w:pPr>
            <w:pStyle w:val="74"/>
            <w:tabs>
              <w:tab w:val="right" w:leader="dot" w:pos="8306"/>
            </w:tabs>
          </w:pPr>
          <w:r>
            <w:rPr>
              <w:bCs/>
            </w:rPr>
            <w:fldChar w:fldCharType="begin"/>
          </w:r>
          <w:r>
            <w:rPr>
              <w:bCs/>
            </w:rPr>
            <w:instrText xml:space="preserve"> HYPERLINK \l _Toc13873 </w:instrText>
          </w:r>
          <w:r>
            <w:rPr>
              <w:bCs/>
            </w:rPr>
            <w:fldChar w:fldCharType="separate"/>
          </w:r>
          <w:r>
            <w:rPr>
              <w:rFonts w:hint="eastAsia" w:ascii="楷体" w:hAnsi="楷体" w:eastAsia="楷体"/>
              <w:szCs w:val="24"/>
            </w:rPr>
            <w:t>工业硅：现货市场暂未止跌，盘面或偏弱运行</w:t>
          </w:r>
          <w:r>
            <w:rPr>
              <w:bCs/>
            </w:rPr>
            <w:fldChar w:fldCharType="end"/>
          </w:r>
        </w:p>
        <w:p>
          <w:pPr>
            <w:pStyle w:val="59"/>
            <w:tabs>
              <w:tab w:val="right" w:leader="dot" w:pos="8306"/>
            </w:tabs>
          </w:pPr>
          <w:r>
            <w:rPr>
              <w:bCs/>
            </w:rPr>
            <w:fldChar w:fldCharType="begin"/>
          </w:r>
          <w:r>
            <w:rPr>
              <w:bCs/>
            </w:rPr>
            <w:instrText xml:space="preserve"> HYPERLINK \l _Toc13625 </w:instrText>
          </w:r>
          <w:r>
            <w:rPr>
              <w:bCs/>
            </w:rPr>
            <w:fldChar w:fldCharType="separate"/>
          </w:r>
          <w:r>
            <w:rPr>
              <w:rFonts w:hint="eastAsia" w:ascii="Times New Roman" w:hAnsi="Times New Roman" w:eastAsia="楷体"/>
              <w:szCs w:val="30"/>
            </w:rPr>
            <w:t>[化工]</w:t>
          </w:r>
          <w:r>
            <w:rPr>
              <w:bCs/>
            </w:rPr>
            <w:fldChar w:fldCharType="end"/>
          </w:r>
        </w:p>
        <w:p>
          <w:pPr>
            <w:pStyle w:val="74"/>
            <w:tabs>
              <w:tab w:val="right" w:leader="dot" w:pos="8306"/>
            </w:tabs>
          </w:pPr>
          <w:r>
            <w:rPr>
              <w:bCs/>
            </w:rPr>
            <w:fldChar w:fldCharType="begin"/>
          </w:r>
          <w:r>
            <w:rPr>
              <w:bCs/>
            </w:rPr>
            <w:instrText xml:space="preserve"> HYPERLINK \l _Toc17508 </w:instrText>
          </w:r>
          <w:r>
            <w:rPr>
              <w:bCs/>
            </w:rPr>
            <w:fldChar w:fldCharType="separate"/>
          </w:r>
          <w:r>
            <w:rPr>
              <w:rFonts w:hint="eastAsia" w:ascii="Times New Roman" w:hAnsi="Times New Roman" w:eastAsia="楷体"/>
              <w:szCs w:val="24"/>
            </w:rPr>
            <w:t>天然橡胶:</w:t>
          </w:r>
          <w:r>
            <w:rPr>
              <w:rFonts w:hint="eastAsia" w:ascii="Times New Roman" w:hAnsi="Times New Roman" w:eastAsia="楷体"/>
              <w:szCs w:val="24"/>
              <w:lang w:val="en-US" w:eastAsia="zh-CN"/>
            </w:rPr>
            <w:t xml:space="preserve"> </w:t>
          </w:r>
          <w:r>
            <w:rPr>
              <w:rFonts w:hint="eastAsia" w:ascii="楷体" w:hAnsi="楷体" w:eastAsia="楷体"/>
              <w:szCs w:val="24"/>
            </w:rPr>
            <w:t>基本面仍存利好叠加收储传闻 短期天胶或偏强运行</w:t>
          </w:r>
          <w:r>
            <w:rPr>
              <w:bCs/>
            </w:rPr>
            <w:fldChar w:fldCharType="end"/>
          </w:r>
        </w:p>
        <w:p>
          <w:pPr>
            <w:pStyle w:val="74"/>
            <w:tabs>
              <w:tab w:val="right" w:leader="dot" w:pos="8306"/>
            </w:tabs>
          </w:pPr>
          <w:r>
            <w:rPr>
              <w:bCs/>
            </w:rPr>
            <w:fldChar w:fldCharType="begin"/>
          </w:r>
          <w:r>
            <w:rPr>
              <w:bCs/>
            </w:rPr>
            <w:instrText xml:space="preserve"> HYPERLINK \l _Toc27273 </w:instrText>
          </w:r>
          <w:r>
            <w:rPr>
              <w:bCs/>
            </w:rPr>
            <w:fldChar w:fldCharType="separate"/>
          </w:r>
          <w:r>
            <w:rPr>
              <w:rFonts w:hint="eastAsia" w:ascii="楷体" w:hAnsi="楷体" w:eastAsia="楷体"/>
              <w:szCs w:val="24"/>
            </w:rPr>
            <w:t>聚烯烃：市场多空因素交织，PE整体强于PP</w:t>
          </w:r>
          <w:r>
            <w:rPr>
              <w:bCs/>
            </w:rPr>
            <w:fldChar w:fldCharType="end"/>
          </w:r>
        </w:p>
        <w:p>
          <w:pPr>
            <w:pStyle w:val="74"/>
            <w:tabs>
              <w:tab w:val="right" w:leader="dot" w:pos="8306"/>
            </w:tabs>
          </w:pPr>
          <w:r>
            <w:rPr>
              <w:bCs/>
            </w:rPr>
            <w:fldChar w:fldCharType="begin"/>
          </w:r>
          <w:r>
            <w:rPr>
              <w:bCs/>
            </w:rPr>
            <w:instrText xml:space="preserve"> HYPERLINK \l _Toc21465 </w:instrText>
          </w:r>
          <w:r>
            <w:rPr>
              <w:bCs/>
            </w:rPr>
            <w:fldChar w:fldCharType="separate"/>
          </w:r>
          <w:r>
            <w:rPr>
              <w:rFonts w:hint="eastAsia" w:ascii="楷体" w:hAnsi="楷体" w:eastAsia="楷体"/>
              <w:szCs w:val="24"/>
            </w:rPr>
            <w:t>玻璃：现货维持弱势，期价成本附近震荡</w:t>
          </w:r>
          <w:r>
            <w:rPr>
              <w:bCs/>
            </w:rPr>
            <w:fldChar w:fldCharType="end"/>
          </w:r>
        </w:p>
        <w:p>
          <w:pPr>
            <w:pStyle w:val="74"/>
            <w:tabs>
              <w:tab w:val="right" w:leader="dot" w:pos="8306"/>
            </w:tabs>
          </w:pPr>
          <w:r>
            <w:rPr>
              <w:bCs/>
            </w:rPr>
            <w:fldChar w:fldCharType="begin"/>
          </w:r>
          <w:r>
            <w:rPr>
              <w:bCs/>
            </w:rPr>
            <w:instrText xml:space="preserve"> HYPERLINK \l _Toc16544 </w:instrText>
          </w:r>
          <w:r>
            <w:rPr>
              <w:bCs/>
            </w:rPr>
            <w:fldChar w:fldCharType="separate"/>
          </w:r>
          <w:r>
            <w:rPr>
              <w:rFonts w:hint="eastAsia" w:ascii="楷体" w:hAnsi="楷体" w:eastAsia="楷体"/>
              <w:szCs w:val="24"/>
            </w:rPr>
            <w:t>纯碱：现货稳价，关注反弹后套保压力</w:t>
          </w:r>
          <w:r>
            <w:rPr>
              <w:bCs/>
            </w:rPr>
            <w:fldChar w:fldCharType="end"/>
          </w:r>
        </w:p>
        <w:p>
          <w:pPr>
            <w:pStyle w:val="59"/>
            <w:tabs>
              <w:tab w:val="right" w:leader="dot" w:pos="8306"/>
            </w:tabs>
          </w:pPr>
          <w:r>
            <w:rPr>
              <w:bCs/>
            </w:rPr>
            <w:fldChar w:fldCharType="begin"/>
          </w:r>
          <w:r>
            <w:rPr>
              <w:bCs/>
            </w:rPr>
            <w:instrText xml:space="preserve"> HYPERLINK \l _Toc3161 </w:instrText>
          </w:r>
          <w:r>
            <w:rPr>
              <w:bCs/>
            </w:rPr>
            <w:fldChar w:fldCharType="separate"/>
          </w:r>
          <w:r>
            <w:rPr>
              <w:rFonts w:hint="eastAsia" w:ascii="Times New Roman" w:hAnsi="Times New Roman" w:eastAsia="楷体"/>
              <w:szCs w:val="30"/>
            </w:rPr>
            <w:t>[农产品]</w:t>
          </w:r>
          <w:r>
            <w:rPr>
              <w:bCs/>
            </w:rPr>
            <w:fldChar w:fldCharType="end"/>
          </w:r>
        </w:p>
        <w:p>
          <w:pPr>
            <w:pStyle w:val="74"/>
            <w:tabs>
              <w:tab w:val="right" w:leader="dot" w:pos="8306"/>
            </w:tabs>
          </w:pPr>
          <w:r>
            <w:rPr>
              <w:bCs/>
            </w:rPr>
            <w:fldChar w:fldCharType="begin"/>
          </w:r>
          <w:r>
            <w:rPr>
              <w:bCs/>
            </w:rPr>
            <w:instrText xml:space="preserve"> HYPERLINK \l _Toc3694 </w:instrText>
          </w:r>
          <w:r>
            <w:rPr>
              <w:bCs/>
            </w:rPr>
            <w:fldChar w:fldCharType="separate"/>
          </w:r>
          <w:r>
            <w:rPr>
              <w:rFonts w:hint="eastAsia" w:ascii="楷体" w:hAnsi="楷体" w:eastAsia="楷体"/>
              <w:bCs/>
            </w:rPr>
            <w:t>玉米与淀粉：</w:t>
          </w:r>
          <w:r>
            <w:rPr>
              <w:rFonts w:hint="eastAsia" w:ascii="楷体" w:hAnsi="楷体" w:eastAsia="楷体"/>
            </w:rPr>
            <w:t>期价等待现货驱动</w:t>
          </w:r>
          <w:r>
            <w:rPr>
              <w:bCs/>
            </w:rPr>
            <w:fldChar w:fldCharType="end"/>
          </w:r>
        </w:p>
        <w:p>
          <w:pPr>
            <w:pStyle w:val="74"/>
            <w:tabs>
              <w:tab w:val="right" w:leader="dot" w:pos="8306"/>
            </w:tabs>
          </w:pPr>
          <w:r>
            <w:rPr>
              <w:bCs/>
            </w:rPr>
            <w:fldChar w:fldCharType="begin"/>
          </w:r>
          <w:r>
            <w:rPr>
              <w:bCs/>
            </w:rPr>
            <w:instrText xml:space="preserve"> HYPERLINK \l _Toc17953 </w:instrText>
          </w:r>
          <w:r>
            <w:rPr>
              <w:bCs/>
            </w:rPr>
            <w:fldChar w:fldCharType="separate"/>
          </w:r>
          <w:r>
            <w:rPr>
              <w:rFonts w:hint="eastAsia" w:ascii="楷体" w:hAnsi="楷体" w:eastAsia="楷体"/>
              <w:bCs/>
            </w:rPr>
            <w:t>畜禽养殖：期价转为近弱远强</w:t>
          </w:r>
          <w:r>
            <w:rPr>
              <w:bCs/>
            </w:rPr>
            <w:fldChar w:fldCharType="end"/>
          </w:r>
        </w:p>
        <w:p>
          <w:pPr>
            <w:pStyle w:val="59"/>
            <w:tabs>
              <w:tab w:val="right" w:leader="dot" w:pos="8306"/>
            </w:tabs>
          </w:pPr>
          <w:r>
            <w:rPr>
              <w:bCs/>
            </w:rPr>
            <w:fldChar w:fldCharType="begin"/>
          </w:r>
          <w:r>
            <w:rPr>
              <w:bCs/>
            </w:rPr>
            <w:instrText xml:space="preserve"> HYPERLINK \l _Toc23587 </w:instrText>
          </w:r>
          <w:r>
            <w:rPr>
              <w:bCs/>
            </w:rPr>
            <w:fldChar w:fldCharType="separate"/>
          </w:r>
          <w:r>
            <w:rPr>
              <w:rFonts w:hint="eastAsia" w:ascii="Times New Roman" w:hAnsi="Times New Roman" w:eastAsia="楷体"/>
              <w:szCs w:val="30"/>
            </w:rPr>
            <w:t>[指数]</w:t>
          </w:r>
          <w:r>
            <w:rPr>
              <w:bCs/>
            </w:rPr>
            <w:fldChar w:fldCharType="end"/>
          </w:r>
        </w:p>
        <w:p>
          <w:pPr>
            <w:pStyle w:val="74"/>
            <w:tabs>
              <w:tab w:val="right" w:leader="dot" w:pos="8306"/>
            </w:tabs>
          </w:pPr>
          <w:r>
            <w:rPr>
              <w:bCs/>
            </w:rPr>
            <w:fldChar w:fldCharType="begin"/>
          </w:r>
          <w:r>
            <w:rPr>
              <w:bCs/>
            </w:rPr>
            <w:instrText xml:space="preserve"> HYPERLINK \l _Toc15862 </w:instrText>
          </w:r>
          <w:r>
            <w:rPr>
              <w:bCs/>
            </w:rPr>
            <w:fldChar w:fldCharType="separate"/>
          </w:r>
          <w:r>
            <w:rPr>
              <w:rFonts w:hint="eastAsia" w:ascii="Times New Roman" w:hAnsi="Times New Roman" w:eastAsia="楷体"/>
              <w:szCs w:val="24"/>
            </w:rPr>
            <w:t>集运指数（欧线）：现货超预期下跌，EC盘面或维持弱势</w:t>
          </w:r>
          <w:r>
            <w:rPr>
              <w:bCs/>
            </w:rPr>
            <w:fldChar w:fldCharType="end"/>
          </w:r>
        </w:p>
        <w:p>
          <w:pPr>
            <w:pStyle w:val="59"/>
            <w:tabs>
              <w:tab w:val="right" w:leader="dot" w:pos="8296"/>
            </w:tabs>
            <w:rPr>
              <w:rFonts w:eastAsiaTheme="minorEastAsia"/>
              <w:szCs w:val="22"/>
            </w:rPr>
          </w:pPr>
          <w:r>
            <w:rPr>
              <w:bCs/>
            </w:rPr>
            <w:fldChar w:fldCharType="end"/>
          </w:r>
        </w:p>
      </w:sdtContent>
    </w:sdt>
    <w:p>
      <w:pPr>
        <w:jc w:val="center"/>
        <w:rPr>
          <w:rFonts w:ascii="Times New Roman" w:hAnsi="Times New Roman" w:eastAsia="楷体" w:cs="Times New Roman"/>
          <w:color w:val="823C0B"/>
        </w:rPr>
        <w:sectPr>
          <w:headerReference r:id="rId4" w:type="first"/>
          <w:headerReference r:id="rId3" w:type="default"/>
          <w:footerReference r:id="rId5" w:type="default"/>
          <w:pgSz w:w="11906" w:h="16838"/>
          <w:pgMar w:top="1440" w:right="1800" w:bottom="1440" w:left="1800" w:header="850" w:footer="1077" w:gutter="0"/>
          <w:cols w:space="425" w:num="1"/>
          <w:titlePg/>
          <w:docGrid w:type="lines" w:linePitch="312" w:charSpace="0"/>
        </w:sectPr>
      </w:pPr>
      <w:r>
        <w:rPr>
          <w:rFonts w:hint="eastAsia" w:ascii="Times New Roman" w:hAnsi="Times New Roman" w:eastAsia="楷体" w:cs="Times New Roman"/>
          <w:color w:val="823C0B"/>
        </w:rPr>
        <w:t>本文观点、结论和建议等仅供参考，并不构成操作依据！请阅读文末免责声明。</w:t>
      </w:r>
    </w:p>
    <w:p>
      <w:pPr>
        <w:rPr>
          <w:rFonts w:ascii="Times New Roman" w:hAnsi="Times New Roman" w:eastAsia="楷体" w:cs="Times New Roman"/>
          <w:b/>
          <w:color w:val="823C0B"/>
          <w:sz w:val="24"/>
        </w:rPr>
      </w:pPr>
    </w:p>
    <w:p>
      <w:pPr>
        <w:jc w:val="center"/>
        <w:rPr>
          <w:rFonts w:ascii="Times New Roman" w:hAnsi="Times New Roman" w:eastAsia="楷体"/>
          <w:b/>
          <w:color w:val="823C0B"/>
          <w:sz w:val="30"/>
          <w:szCs w:val="30"/>
        </w:rPr>
      </w:pPr>
      <w:r>
        <w:rPr>
          <w:rFonts w:hint="eastAsia" w:ascii="Times New Roman" w:hAnsi="Times New Roman" w:eastAsia="楷体"/>
          <w:b/>
          <w:color w:val="823C0B"/>
          <w:sz w:val="30"/>
          <w:szCs w:val="30"/>
        </w:rPr>
        <w:t>本日早评</w:t>
      </w:r>
    </w:p>
    <w:p>
      <w:pPr>
        <w:pBdr>
          <w:top w:val="single" w:color="auto" w:sz="4" w:space="0"/>
        </w:pBdr>
        <w:outlineLvl w:val="0"/>
        <w:rPr>
          <w:rFonts w:ascii="Times New Roman" w:hAnsi="Times New Roman" w:eastAsia="楷体"/>
          <w:b/>
          <w:color w:val="823C0B"/>
        </w:rPr>
      </w:pPr>
      <w:bookmarkStart w:id="1" w:name="_Toc19317"/>
      <w:bookmarkStart w:id="2" w:name="_Toc19860"/>
      <w:bookmarkStart w:id="3" w:name="_Toc18033"/>
      <w:bookmarkStart w:id="4" w:name="金融"/>
      <w:r>
        <w:rPr>
          <w:rFonts w:hint="eastAsia" w:ascii="Times New Roman" w:hAnsi="Times New Roman" w:eastAsia="楷体"/>
          <w:b/>
          <w:color w:val="823C0B"/>
          <w:sz w:val="30"/>
          <w:szCs w:val="30"/>
        </w:rPr>
        <w:t>[金融]</w:t>
      </w:r>
      <w:bookmarkEnd w:id="1"/>
      <w:bookmarkEnd w:id="2"/>
      <w:bookmarkEnd w:id="3"/>
    </w:p>
    <w:bookmarkEnd w:id="4"/>
    <w:p>
      <w:pPr>
        <w:ind w:left="420" w:leftChars="200"/>
        <w:outlineLvl w:val="1"/>
        <w:rPr>
          <w:rFonts w:ascii="Times New Roman" w:hAnsi="Times New Roman" w:eastAsia="楷体"/>
          <w:b/>
          <w:color w:val="000000" w:themeColor="text1"/>
          <w:sz w:val="24"/>
          <w:szCs w:val="24"/>
          <w14:textFill>
            <w14:solidFill>
              <w14:schemeClr w14:val="tx1"/>
            </w14:solidFill>
          </w14:textFill>
        </w:rPr>
      </w:pPr>
      <w:bookmarkStart w:id="5" w:name="_Toc965"/>
      <w:bookmarkStart w:id="6" w:name="_Toc16295"/>
      <w:bookmarkStart w:id="7" w:name="_Toc6624"/>
      <w:r>
        <w:rPr>
          <w:rFonts w:hint="eastAsia" w:ascii="Times New Roman" w:hAnsi="Times New Roman" w:eastAsia="楷体"/>
          <w:b/>
          <w:color w:val="000000" w:themeColor="text1"/>
          <w:sz w:val="24"/>
          <w:szCs w:val="24"/>
          <w14:textFill>
            <w14:solidFill>
              <w14:schemeClr w14:val="tx1"/>
            </w14:solidFill>
          </w14:textFill>
        </w:rPr>
        <w:t>股指：</w:t>
      </w:r>
      <w:bookmarkEnd w:id="5"/>
      <w:bookmarkEnd w:id="6"/>
      <w:bookmarkEnd w:id="7"/>
      <w:r>
        <w:rPr>
          <w:rFonts w:hint="eastAsia" w:ascii="Times New Roman" w:hAnsi="Times New Roman" w:eastAsia="楷体"/>
          <w:b/>
          <w:color w:val="000000" w:themeColor="text1"/>
          <w:sz w:val="24"/>
          <w:szCs w:val="24"/>
          <w14:textFill>
            <w14:solidFill>
              <w14:schemeClr w14:val="tx1"/>
            </w14:solidFill>
          </w14:textFill>
        </w:rPr>
        <w:t>短线震荡盘整为主</w:t>
      </w:r>
    </w:p>
    <w:p>
      <w:pPr>
        <w:ind w:left="630" w:leftChars="300"/>
        <w:rPr>
          <w:rFonts w:hint="eastAsia"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市场连续多日出现窄幅震荡，由于前期大量资金踏空，故市场一直没有出现的大幅下行。行业层面，多数行业内走势已经出现不同程度的分化，主线逐渐散乱，市场需要新的主线引领市场实现突破。3月基本面政策面向上弹性不足，但短期市场调整风险总体可控，管理层重视预期管理，回应市场关切，有利于托住A股市场震荡区间下限，结构性机会尚存。4月经济和业绩的验证期尚未到来，市场或以震荡盘整为主。</w:t>
      </w:r>
    </w:p>
    <w:p>
      <w:pPr>
        <w:ind w:left="630" w:leftChars="300"/>
        <w:rPr>
          <w:rFonts w:hint="eastAsia" w:ascii="Times New Roman" w:hAnsi="Times New Roman" w:eastAsia="楷体"/>
          <w:color w:val="000000" w:themeColor="text1"/>
          <w:sz w:val="24"/>
          <w:szCs w:val="24"/>
          <w14:textFill>
            <w14:solidFill>
              <w14:schemeClr w14:val="tx1"/>
            </w14:solidFill>
          </w14:textFill>
        </w:rPr>
      </w:pPr>
    </w:p>
    <w:p>
      <w:pPr>
        <w:pBdr>
          <w:top w:val="single" w:color="auto" w:sz="4" w:space="0"/>
        </w:pBdr>
        <w:outlineLvl w:val="0"/>
        <w:rPr>
          <w:rFonts w:ascii="Times New Roman" w:hAnsi="Times New Roman" w:eastAsia="楷体"/>
          <w:b/>
          <w:color w:val="823C0B"/>
        </w:rPr>
      </w:pPr>
      <w:bookmarkStart w:id="8" w:name="_Toc26688"/>
      <w:r>
        <w:rPr>
          <w:rFonts w:hint="eastAsia" w:ascii="Times New Roman" w:hAnsi="Times New Roman" w:eastAsia="楷体"/>
          <w:b/>
          <w:color w:val="823C0B"/>
          <w:sz w:val="30"/>
          <w:szCs w:val="30"/>
        </w:rPr>
        <w:t>[贵金属]</w:t>
      </w:r>
      <w:bookmarkEnd w:id="8"/>
    </w:p>
    <w:p>
      <w:pPr>
        <w:ind w:left="420" w:leftChars="200"/>
        <w:outlineLvl w:val="1"/>
        <w:rPr>
          <w:rFonts w:hint="eastAsia" w:ascii="Times New Roman" w:hAnsi="Times New Roman" w:eastAsia="楷体"/>
          <w:b/>
          <w:color w:val="000000" w:themeColor="text1"/>
          <w:sz w:val="24"/>
          <w:szCs w:val="24"/>
          <w14:textFill>
            <w14:solidFill>
              <w14:schemeClr w14:val="tx1"/>
            </w14:solidFill>
          </w14:textFill>
        </w:rPr>
      </w:pPr>
      <w:bookmarkStart w:id="9" w:name="_Toc4802"/>
      <w:r>
        <w:rPr>
          <w:rFonts w:hint="eastAsia" w:ascii="Times New Roman" w:hAnsi="Times New Roman" w:eastAsia="楷体"/>
          <w:b/>
          <w:color w:val="000000" w:themeColor="text1"/>
          <w:sz w:val="24"/>
          <w:szCs w:val="24"/>
          <w14:textFill>
            <w14:solidFill>
              <w14:schemeClr w14:val="tx1"/>
            </w14:solidFill>
          </w14:textFill>
        </w:rPr>
        <w:t>贵金属：</w:t>
      </w:r>
      <w:bookmarkEnd w:id="9"/>
      <w:r>
        <w:rPr>
          <w:rFonts w:hint="eastAsia" w:ascii="Times New Roman" w:hAnsi="Times New Roman" w:eastAsia="楷体"/>
          <w:b/>
          <w:color w:val="000000" w:themeColor="text1"/>
          <w:sz w:val="24"/>
          <w:szCs w:val="24"/>
          <w14:textFill>
            <w14:solidFill>
              <w14:schemeClr w14:val="tx1"/>
            </w14:solidFill>
          </w14:textFill>
        </w:rPr>
        <w:t>机构上调全球经济增长预测，贵金属价格上涨</w:t>
      </w:r>
    </w:p>
    <w:p>
      <w:pPr>
        <w:ind w:left="630" w:leftChars="300"/>
        <w:rPr>
          <w:rFonts w:hint="eastAsia"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沪金涨0.76%至508.84元/克；沪银涨2.73%至6293元/千克。惠誉上调2024年全球GDP增长预测上调0.3个百分点至2.4%，将2025年全球GDP增长率预测上调至2.5%；其预计美国财政刺激将在今年减弱，家庭收入增长将放缓。美国2月CPI涨幅高于预期，美国2月CPI同比增3.2%，为去年12月以来新高，预期增3.1%，前值增3.1%；CPI环比增0.4%，预期增0.4%，前值增0.3%；核心CPI同比增3.8%，为2021年5月以来新低，预期增3.7%，前值增3.9%；环比增0.4%，预期增0.3%，前值增0.4%。核心通胀维持韧性，目前海外市场定价联储或于6月启动降息。美联储本周进入噤声期，下周将公布3月议息决议。美国经济数据表现偏弱、就业市场放缓，美联储主席讲话提及“降息并不遥远”，美元指数、美债收益率窄幅运行，留意今日晚间美国PPI生产端通胀数据情况，市场将基于最新通胀数据表现修正降息预期，贵金属价格短线或区间震荡。</w:t>
      </w:r>
    </w:p>
    <w:p>
      <w:pPr>
        <w:ind w:left="630" w:leftChars="300"/>
        <w:rPr>
          <w:rFonts w:hint="eastAsia" w:ascii="Times New Roman" w:hAnsi="Times New Roman" w:eastAsia="楷体"/>
          <w:color w:val="000000" w:themeColor="text1"/>
          <w:sz w:val="24"/>
          <w:szCs w:val="24"/>
          <w14:textFill>
            <w14:solidFill>
              <w14:schemeClr w14:val="tx1"/>
            </w14:solidFill>
          </w14:textFill>
        </w:rPr>
      </w:pPr>
    </w:p>
    <w:p>
      <w:pPr>
        <w:pBdr>
          <w:top w:val="single" w:color="auto" w:sz="4" w:space="0"/>
        </w:pBdr>
        <w:outlineLvl w:val="0"/>
        <w:rPr>
          <w:rFonts w:ascii="Times New Roman" w:hAnsi="Times New Roman" w:eastAsia="楷体"/>
          <w:b/>
          <w:color w:val="823C0B"/>
          <w:sz w:val="30"/>
          <w:szCs w:val="30"/>
        </w:rPr>
      </w:pPr>
      <w:bookmarkStart w:id="10" w:name="_Toc20891"/>
      <w:bookmarkStart w:id="11" w:name="金属"/>
      <w:bookmarkStart w:id="12" w:name="_Toc3096"/>
      <w:bookmarkStart w:id="13" w:name="_Toc1035"/>
      <w:bookmarkStart w:id="14" w:name="农产品"/>
      <w:r>
        <w:rPr>
          <w:rFonts w:hint="eastAsia" w:ascii="Times New Roman" w:hAnsi="Times New Roman" w:eastAsia="楷体"/>
          <w:b/>
          <w:color w:val="823C0B"/>
          <w:sz w:val="30"/>
          <w:szCs w:val="30"/>
        </w:rPr>
        <w:t>[金属]</w:t>
      </w:r>
      <w:bookmarkEnd w:id="10"/>
      <w:bookmarkEnd w:id="11"/>
      <w:bookmarkEnd w:id="12"/>
      <w:bookmarkEnd w:id="13"/>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15" w:name="_Toc2229"/>
      <w:bookmarkStart w:id="16" w:name="_Toc5371"/>
      <w:bookmarkStart w:id="17" w:name="_Toc27831"/>
      <w:r>
        <w:rPr>
          <w:rFonts w:hint="eastAsia" w:ascii="楷体" w:hAnsi="楷体" w:eastAsia="楷体"/>
          <w:b/>
          <w:color w:val="000000" w:themeColor="text1"/>
          <w:sz w:val="24"/>
          <w:szCs w:val="24"/>
          <w14:textFill>
            <w14:solidFill>
              <w14:schemeClr w14:val="tx1"/>
            </w14:solidFill>
          </w14:textFill>
        </w:rPr>
        <w:t>碳酸锂：</w:t>
      </w:r>
      <w:bookmarkEnd w:id="15"/>
      <w:r>
        <w:rPr>
          <w:rFonts w:hint="eastAsia" w:ascii="楷体" w:hAnsi="楷体" w:eastAsia="楷体"/>
          <w:b/>
          <w:color w:val="000000" w:themeColor="text1"/>
          <w:sz w:val="24"/>
          <w:szCs w:val="24"/>
          <w14:textFill>
            <w14:solidFill>
              <w14:schemeClr w14:val="tx1"/>
            </w14:solidFill>
          </w14:textFill>
        </w:rPr>
        <w:t>Pilbara签署锂精矿包销协议，期价小幅收涨</w:t>
      </w:r>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现货价格小幅上涨，期价高开后窄幅震荡，尾盘略微回落，07合约收涨0.38%至118800元/吨。澳洲Pilbara Minerals宣布与雅化锂业签署锂辉石包销协议，将在2024年向其提供2-8万吨锂辉石精矿，2025-2026年每年提供10-16万吨；另外，</w:t>
      </w:r>
      <w:bookmarkStart w:id="44" w:name="_GoBack"/>
      <w:bookmarkEnd w:id="44"/>
      <w:r>
        <w:rPr>
          <w:rFonts w:hint="eastAsia" w:ascii="楷体" w:hAnsi="楷体" w:eastAsia="楷体"/>
          <w:color w:val="000000" w:themeColor="text1"/>
          <w:sz w:val="24"/>
          <w:szCs w:val="24"/>
          <w14:textFill>
            <w14:solidFill>
              <w14:schemeClr w14:val="tx1"/>
            </w14:solidFill>
          </w14:textFill>
        </w:rPr>
        <w:t>Pilbara Minerals将在3月18日进行约5000吨锂辉石精矿的拍卖，届时拍卖成交价或在一定程度上为市场提供锂价上方的预期指引。最新一周碳酸锂下游库存增长，或反映补库的采购需求有所回暖，碳酸锂生产企业维持挺价情绪，进口矿石价格近期升至1000美元/吨上方。江西环保因素影响相对较小，进入三月后品种或面临仓单注销压力，关注下游补库需求，锂价或偏强震荡。</w:t>
      </w:r>
    </w:p>
    <w:bookmarkEnd w:id="16"/>
    <w:bookmarkEnd w:id="17"/>
    <w:p>
      <w:pPr>
        <w:rPr>
          <w:rFonts w:ascii="楷体" w:hAnsi="楷体" w:eastAsia="楷体"/>
          <w:sz w:val="24"/>
          <w:szCs w:val="24"/>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18" w:name="_Toc9719"/>
      <w:bookmarkStart w:id="19" w:name="_Toc25617"/>
      <w:bookmarkStart w:id="20" w:name="_Toc12374"/>
      <w:r>
        <w:rPr>
          <w:rFonts w:hint="eastAsia" w:ascii="楷体" w:hAnsi="楷体" w:eastAsia="楷体"/>
          <w:b/>
          <w:color w:val="000000" w:themeColor="text1"/>
          <w:sz w:val="24"/>
          <w:szCs w:val="24"/>
          <w14:textFill>
            <w14:solidFill>
              <w14:schemeClr w14:val="tx1"/>
            </w14:solidFill>
          </w14:textFill>
        </w:rPr>
        <w:t>铜：</w:t>
      </w:r>
      <w:bookmarkEnd w:id="18"/>
      <w:bookmarkEnd w:id="19"/>
      <w:bookmarkEnd w:id="20"/>
      <w:r>
        <w:rPr>
          <w:rFonts w:hint="eastAsia" w:ascii="楷体" w:hAnsi="楷体" w:eastAsia="楷体"/>
          <w:b/>
          <w:color w:val="000000" w:themeColor="text1"/>
          <w:sz w:val="24"/>
          <w:szCs w:val="24"/>
          <w14:textFill>
            <w14:solidFill>
              <w14:schemeClr w14:val="tx1"/>
            </w14:solidFill>
          </w14:textFill>
        </w:rPr>
        <w:t>短期维持震荡偏强运行</w:t>
      </w: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(1)产业：有市场消息称，中国大型铜冶炼厂在周三会议上同意削减一些产量，以应对原材料供应短缺，目前具体减产力度尚不明确。</w:t>
      </w: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(2)库存：3月13日，SHFE仓单库存178224吨，增5153吨；LME仓单库存108925吨，减1975吨。</w:t>
      </w: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(3)精废价差：3月13日，Mysteel精废价差1704，扩张200。目前价差在合理价差1397之上。</w:t>
      </w:r>
    </w:p>
    <w:p>
      <w:pPr>
        <w:ind w:left="630" w:leftChars="300"/>
        <w:rPr>
          <w:rFonts w:hint="eastAsia" w:ascii="楷体" w:hAnsi="楷体" w:eastAsia="楷体"/>
          <w:color w:val="000000" w:themeColor="text1"/>
          <w:sz w:val="24"/>
          <w:szCs w:val="24"/>
          <w14:textFill>
            <w14:solidFill>
              <w14:schemeClr w14:val="tx1"/>
            </w14:solidFill>
          </w14:textFill>
        </w:rPr>
      </w:pPr>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综述：当前无明显宏观利空背景下，伴随国内铜精矿供应紧张与冶炼厂减产的题材发酵，伦铜向上突破8700美金，沪铜突破7万整数关口压力位，短期价格在资金热度驱动下或维持震荡偏强运行，但仍需警惕后期宏微观利空共振带来价格高位回落风险，一方面国内库存超预期累增，消费恢复缓慢，现实和预期差或给价格带来压力；另一方面，美联储降息预期调整仍将根据数据公布反复调整，且实际降息往往伴随经济走弱，不利铜价。操作上，建议铜价大幅冲高后通过买入看跌期权进行卖出保值。</w:t>
      </w:r>
    </w:p>
    <w:p>
      <w:pPr>
        <w:ind w:firstLine="480" w:firstLineChars="200"/>
        <w:rPr>
          <w:rFonts w:ascii="楷体" w:hAnsi="楷体" w:eastAsia="楷体"/>
          <w:bCs/>
          <w:sz w:val="24"/>
          <w:szCs w:val="24"/>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21" w:name="_Toc8897"/>
      <w:bookmarkStart w:id="22" w:name="_Toc6247"/>
      <w:bookmarkStart w:id="23" w:name="_Toc6922"/>
      <w:r>
        <w:rPr>
          <w:rFonts w:hint="eastAsia" w:ascii="楷体" w:hAnsi="楷体" w:eastAsia="楷体"/>
          <w:b/>
          <w:color w:val="000000" w:themeColor="text1"/>
          <w:sz w:val="24"/>
          <w:szCs w:val="24"/>
          <w14:textFill>
            <w14:solidFill>
              <w14:schemeClr w14:val="tx1"/>
            </w14:solidFill>
          </w14:textFill>
        </w:rPr>
        <w:t>铝：</w:t>
      </w:r>
      <w:bookmarkEnd w:id="21"/>
      <w:bookmarkEnd w:id="22"/>
      <w:bookmarkEnd w:id="23"/>
      <w:r>
        <w:rPr>
          <w:rFonts w:hint="eastAsia" w:ascii="楷体" w:hAnsi="楷体" w:eastAsia="楷体"/>
          <w:b/>
          <w:color w:val="000000" w:themeColor="text1"/>
          <w:sz w:val="24"/>
          <w:szCs w:val="24"/>
          <w14:textFill>
            <w14:solidFill>
              <w14:schemeClr w14:val="tx1"/>
            </w14:solidFill>
          </w14:textFill>
        </w:rPr>
        <w:t>铝价上测前高，建议等待明朗趋势</w:t>
      </w:r>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前期海外联储降息叠加国内两会召开带动市场情绪偏暖，基本面供应整体保持稳定，需求旺季消费有乐观预期，推动铝价上测19300附近前高位置，目前来看，消费处于真空期，宏观情绪带动有限，如无明显利多、利空的宏观或基本面消息刺激，建议等待趋势明朗再操作。</w:t>
      </w:r>
    </w:p>
    <w:p>
      <w:pPr>
        <w:ind w:left="630" w:leftChars="300"/>
        <w:rPr>
          <w:rFonts w:ascii="楷体" w:hAnsi="楷体" w:eastAsia="楷体"/>
          <w:color w:val="000000" w:themeColor="text1"/>
          <w:sz w:val="24"/>
          <w:szCs w:val="24"/>
          <w14:textFill>
            <w14:solidFill>
              <w14:schemeClr w14:val="tx1"/>
            </w14:solidFill>
          </w14:textFill>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24" w:name="_Toc28378"/>
      <w:r>
        <w:rPr>
          <w:rFonts w:hint="eastAsia" w:ascii="楷体" w:hAnsi="楷体" w:eastAsia="楷体"/>
          <w:b/>
          <w:color w:val="000000" w:themeColor="text1"/>
          <w:sz w:val="24"/>
          <w:szCs w:val="24"/>
          <w14:textFill>
            <w14:solidFill>
              <w14:schemeClr w14:val="tx1"/>
            </w14:solidFill>
          </w14:textFill>
        </w:rPr>
        <w:t>锌：</w:t>
      </w:r>
      <w:bookmarkEnd w:id="24"/>
      <w:r>
        <w:rPr>
          <w:rFonts w:hint="eastAsia" w:ascii="楷体" w:hAnsi="楷体" w:eastAsia="楷体"/>
          <w:b/>
          <w:color w:val="000000" w:themeColor="text1"/>
          <w:sz w:val="24"/>
          <w:szCs w:val="24"/>
          <w14:textFill>
            <w14:solidFill>
              <w14:schemeClr w14:val="tx1"/>
            </w14:solidFill>
          </w14:textFill>
        </w:rPr>
        <w:t>锌价测试前高压力</w:t>
      </w:r>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宏观情绪整体偏利多，供应端有矿端减产扰动，部门地区检修停产，3月月度产量预计同比下滑，终端需求在旺季消费叠加两会后可能针对地产基建有利多政策的预期下有所好转，下游开工率回升，锌价上涨测试前高，建议观望前高压力突破情况。</w:t>
      </w:r>
    </w:p>
    <w:p>
      <w:pPr>
        <w:ind w:left="630" w:leftChars="300"/>
        <w:rPr>
          <w:rFonts w:ascii="楷体" w:hAnsi="楷体" w:eastAsia="楷体"/>
          <w:color w:val="000000" w:themeColor="text1"/>
          <w:sz w:val="24"/>
          <w:szCs w:val="24"/>
          <w14:textFill>
            <w14:solidFill>
              <w14:schemeClr w14:val="tx1"/>
            </w14:solidFill>
          </w14:textFill>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25" w:name="_Toc8473"/>
      <w:r>
        <w:rPr>
          <w:rFonts w:hint="eastAsia" w:ascii="楷体" w:hAnsi="楷体" w:eastAsia="楷体"/>
          <w:b/>
          <w:color w:val="000000" w:themeColor="text1"/>
          <w:sz w:val="24"/>
          <w:szCs w:val="24"/>
          <w14:textFill>
            <w14:solidFill>
              <w14:schemeClr w14:val="tx1"/>
            </w14:solidFill>
          </w14:textFill>
        </w:rPr>
        <w:t>镍：</w:t>
      </w:r>
      <w:bookmarkEnd w:id="25"/>
      <w:r>
        <w:rPr>
          <w:rFonts w:hint="eastAsia" w:ascii="楷体" w:hAnsi="楷体" w:eastAsia="楷体"/>
          <w:b/>
          <w:color w:val="000000" w:themeColor="text1"/>
          <w:sz w:val="24"/>
          <w:szCs w:val="24"/>
          <w14:textFill>
            <w14:solidFill>
              <w14:schemeClr w14:val="tx1"/>
            </w14:solidFill>
          </w14:textFill>
        </w:rPr>
        <w:t>逢高沽空为宜</w:t>
      </w:r>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近日镍价偏强的逻辑因素主要在于：一、虽然美国2月CPI及核心CPI高于预期，但美元指数维持弱势，宏观情绪整体仍偏多。二、成本支撑走强，从中间品来看，受前期印尼华飞等MHP项目减产的影响，MHP供需偏紧，近期价格系数维持在75-80高位水平；从硫酸镍来看，此前持续性亏损压力使得硫酸镍厂家减产较多，而近期下游三元材料存在补库需求，在这种阶段性供需矛盾下短期硫酸镍价格偏强运行。三、短期印尼镍矿资源仍偏紧，但印尼官员也表示能矿部计划在3月底前完成所有采矿RKAB审批。然而，精炼镍产能继续释放，镍供应显著过剩的产业格局未有改变，社会库存维持累库趋势。宏观氛围偏多及成本走强为镍价带来的反弹空间有限，压力位关注143000元/吨，建议持逢高沽空思路。</w:t>
      </w:r>
    </w:p>
    <w:p>
      <w:pPr>
        <w:rPr>
          <w:rFonts w:ascii="楷体" w:hAnsi="楷体" w:eastAsia="楷体"/>
          <w:color w:val="000000" w:themeColor="text1"/>
          <w:sz w:val="24"/>
          <w:szCs w:val="24"/>
          <w14:textFill>
            <w14:solidFill>
              <w14:schemeClr w14:val="tx1"/>
            </w14:solidFill>
          </w14:textFill>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26" w:name="_Toc7393"/>
      <w:r>
        <w:rPr>
          <w:rFonts w:hint="eastAsia" w:ascii="楷体" w:hAnsi="楷体" w:eastAsia="楷体"/>
          <w:b/>
          <w:color w:val="000000" w:themeColor="text1"/>
          <w:sz w:val="24"/>
          <w:szCs w:val="24"/>
          <w14:textFill>
            <w14:solidFill>
              <w14:schemeClr w14:val="tx1"/>
            </w14:solidFill>
          </w14:textFill>
        </w:rPr>
        <w:t>不锈钢：</w:t>
      </w:r>
      <w:bookmarkEnd w:id="26"/>
      <w:r>
        <w:rPr>
          <w:rFonts w:hint="eastAsia" w:ascii="楷体" w:hAnsi="楷体" w:eastAsia="楷体"/>
          <w:b/>
          <w:color w:val="000000" w:themeColor="text1"/>
          <w:sz w:val="24"/>
          <w:szCs w:val="24"/>
          <w14:textFill>
            <w14:solidFill>
              <w14:schemeClr w14:val="tx1"/>
            </w14:solidFill>
          </w14:textFill>
        </w:rPr>
        <w:t>成本支撑与需求疲弱构成矛盾</w:t>
      </w:r>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从成本来看，印尼镍矿RKAB审批缓慢使得印尼镍矿资源偏紧，为短期镍矿和镍铁价格形成支撑，据Mysteel测算，300系不锈钢成本在13600元/吨左右，预计三月底印尼镍矿审批速度将加快，届时镍矿及镍铁价格存下跌空间。从供需来看，不锈钢厂将陆续复产，据Mysteel预估，国内43家不锈钢厂粗钢3月排产312.03万吨，月环比增加21.4%，而节后下游成交多以刚需采购为主，需求表现偏弱，上周社会库存累库5.04%。综合而言，当前不锈钢价格的逻辑因素主要在于弱需求与高成本的矛盾，需求疲弱对价格带来压制，但成本支撑较强，不锈钢下方空间有限，支撑位参考13500元/吨，持续关注需求状况及印尼镍矿RKAB审批进展。</w:t>
      </w:r>
    </w:p>
    <w:p>
      <w:pPr>
        <w:rPr>
          <w:rFonts w:ascii="楷体" w:hAnsi="楷体" w:eastAsia="楷体"/>
          <w:bCs/>
          <w:sz w:val="24"/>
          <w:szCs w:val="24"/>
        </w:rPr>
      </w:pPr>
    </w:p>
    <w:p>
      <w:pPr>
        <w:ind w:left="420" w:leftChars="200"/>
        <w:outlineLvl w:val="1"/>
        <w:rPr>
          <w:rFonts w:ascii="楷体" w:hAnsi="楷体" w:eastAsia="楷体"/>
          <w:b/>
          <w:sz w:val="24"/>
          <w:szCs w:val="24"/>
        </w:rPr>
      </w:pPr>
      <w:bookmarkStart w:id="27" w:name="_Toc13873"/>
      <w:r>
        <w:rPr>
          <w:rFonts w:hint="eastAsia" w:ascii="楷体" w:hAnsi="楷体" w:eastAsia="楷体"/>
          <w:b/>
          <w:color w:val="000000" w:themeColor="text1"/>
          <w:sz w:val="24"/>
          <w:szCs w:val="24"/>
          <w14:textFill>
            <w14:solidFill>
              <w14:schemeClr w14:val="tx1"/>
            </w14:solidFill>
          </w14:textFill>
        </w:rPr>
        <w:t>工业硅：</w:t>
      </w:r>
      <w:bookmarkEnd w:id="27"/>
      <w:r>
        <w:rPr>
          <w:rFonts w:hint="eastAsia" w:ascii="楷体" w:hAnsi="楷体" w:eastAsia="楷体"/>
          <w:b/>
          <w:sz w:val="24"/>
          <w:szCs w:val="24"/>
        </w:rPr>
        <w:t>现货市场暂未止跌，盘面或偏弱运行</w:t>
      </w:r>
    </w:p>
    <w:p>
      <w:pPr>
        <w:ind w:left="630" w:leftChars="300"/>
        <w:rPr>
          <w:rFonts w:ascii="楷体" w:hAnsi="楷体" w:eastAsia="楷体"/>
          <w:sz w:val="24"/>
          <w:szCs w:val="24"/>
        </w:rPr>
      </w:pPr>
      <w:r>
        <w:rPr>
          <w:rFonts w:hint="eastAsia" w:ascii="楷体" w:hAnsi="楷体" w:eastAsia="楷体"/>
          <w:sz w:val="24"/>
          <w:szCs w:val="24"/>
        </w:rPr>
        <w:t>3月13日，Si2405主力合约呈下行走势，收盘价13250元/吨，较上一收盘价涨跌幅-0.23%。据市场反馈，近期现货市场成交有所回暖，但回暖速度不及预期，以及采购方存在明显压价情绪，在库存压力下，部分卖方存在降价成交行为。目前，现货市场暂未出现明显止跌企稳迹象，预计盘面或将震荡偏弱运行。</w:t>
      </w:r>
    </w:p>
    <w:p>
      <w:pPr>
        <w:ind w:firstLine="420" w:firstLineChars="200"/>
        <w:rPr>
          <w:rFonts w:ascii="Times New Roman" w:hAnsi="Times New Roman" w:eastAsia="楷体"/>
          <w:bCs/>
        </w:rPr>
      </w:pPr>
    </w:p>
    <w:p>
      <w:pPr>
        <w:ind w:firstLine="420" w:firstLineChars="200"/>
        <w:rPr>
          <w:rFonts w:ascii="Times New Roman" w:hAnsi="Times New Roman" w:eastAsia="楷体"/>
          <w:bCs/>
        </w:rPr>
      </w:pPr>
    </w:p>
    <w:p>
      <w:pPr>
        <w:pBdr>
          <w:top w:val="single" w:color="auto" w:sz="4" w:space="0"/>
        </w:pBdr>
        <w:outlineLvl w:val="0"/>
        <w:rPr>
          <w:rFonts w:ascii="Times New Roman" w:hAnsi="Times New Roman" w:eastAsia="楷体"/>
          <w:b/>
          <w:color w:val="823C0B"/>
          <w:sz w:val="30"/>
          <w:szCs w:val="30"/>
        </w:rPr>
      </w:pPr>
      <w:bookmarkStart w:id="28" w:name="化工"/>
      <w:r>
        <w:rPr>
          <w:rFonts w:hint="eastAsia" w:ascii="Times New Roman" w:hAnsi="Times New Roman" w:eastAsia="楷体"/>
          <w:b/>
          <w:color w:val="823C0B"/>
          <w:sz w:val="30"/>
          <w:szCs w:val="30"/>
        </w:rPr>
        <w:t xml:space="preserve"> </w:t>
      </w:r>
      <w:bookmarkStart w:id="29" w:name="_Toc13625"/>
      <w:r>
        <w:rPr>
          <w:rFonts w:hint="eastAsia" w:ascii="Times New Roman" w:hAnsi="Times New Roman" w:eastAsia="楷体"/>
          <w:b/>
          <w:color w:val="823C0B"/>
          <w:sz w:val="30"/>
          <w:szCs w:val="30"/>
        </w:rPr>
        <w:t>[化工]</w:t>
      </w:r>
      <w:bookmarkEnd w:id="28"/>
      <w:bookmarkEnd w:id="29"/>
    </w:p>
    <w:p>
      <w:pPr>
        <w:ind w:firstLine="482" w:firstLineChars="200"/>
        <w:outlineLvl w:val="1"/>
        <w:rPr>
          <w:rFonts w:ascii="楷体" w:hAnsi="楷体" w:eastAsia="楷体"/>
          <w:b/>
          <w:sz w:val="24"/>
          <w:szCs w:val="24"/>
        </w:rPr>
      </w:pPr>
      <w:bookmarkStart w:id="30" w:name="_Toc17508"/>
      <w:r>
        <w:rPr>
          <w:rFonts w:hint="eastAsia" w:ascii="Times New Roman" w:hAnsi="Times New Roman" w:eastAsia="楷体"/>
          <w:b/>
          <w:color w:val="000000" w:themeColor="text1"/>
          <w:sz w:val="24"/>
          <w:szCs w:val="24"/>
          <w14:textFill>
            <w14:solidFill>
              <w14:schemeClr w14:val="tx1"/>
            </w14:solidFill>
          </w14:textFill>
        </w:rPr>
        <w:t>天然橡胶:</w:t>
      </w:r>
      <w:r>
        <w:rPr>
          <w:rFonts w:hint="eastAsia" w:ascii="Times New Roman" w:hAnsi="Times New Roman" w:eastAsia="楷体"/>
          <w:b/>
          <w:color w:val="000000" w:themeColor="text1"/>
          <w:sz w:val="24"/>
          <w:szCs w:val="24"/>
          <w:lang w:val="en-US" w:eastAsia="zh-CN"/>
          <w14:textFill>
            <w14:solidFill>
              <w14:schemeClr w14:val="tx1"/>
            </w14:solidFill>
          </w14:textFill>
        </w:rPr>
        <w:t xml:space="preserve"> </w:t>
      </w:r>
      <w:bookmarkEnd w:id="30"/>
      <w:r>
        <w:rPr>
          <w:rFonts w:hint="eastAsia" w:ascii="楷体" w:hAnsi="楷体" w:eastAsia="楷体"/>
          <w:b/>
          <w:sz w:val="24"/>
          <w:szCs w:val="24"/>
        </w:rPr>
        <w:t xml:space="preserve">基本面仍存利好叠加收储传闻 短期天胶或偏强运行           </w:t>
      </w:r>
    </w:p>
    <w:p>
      <w:pPr>
        <w:ind w:left="630" w:leftChars="300"/>
        <w:rPr>
          <w:rFonts w:ascii="楷体" w:hAnsi="楷体" w:eastAsia="楷体"/>
          <w:sz w:val="24"/>
          <w:szCs w:val="24"/>
        </w:rPr>
      </w:pPr>
      <w:r>
        <w:rPr>
          <w:rFonts w:hint="eastAsia" w:ascii="楷体" w:hAnsi="楷体" w:eastAsia="楷体"/>
          <w:sz w:val="24"/>
          <w:szCs w:val="24"/>
        </w:rPr>
        <w:t>点评：供应方面，泰国供应处于季节性收缩时期，原料价格易涨难跌，标胶到港量下降预期偏强。库存方面，国内社会库存回升，青岛深色胶即将呈现累库拐点，浅色库存同比去年上升。需求端来看，节后返工叠加国内需求的全面复苏，下游工厂陆续复工复产，开工率将恢复性提升。整体看，下游开工继续提升，但缺乏实质增量驱动，对原材料采购仍存谨慎态度，基本面表现仍存利好叠加收储炒作提振市场氛围，短期天然橡胶价格维持偏强运行，但上行空间存疑。</w:t>
      </w:r>
    </w:p>
    <w:p>
      <w:pPr>
        <w:rPr>
          <w:rFonts w:ascii="楷体" w:hAnsi="楷体" w:eastAsia="楷体"/>
          <w:bCs/>
          <w:sz w:val="24"/>
          <w:szCs w:val="24"/>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31" w:name="_Toc27273"/>
      <w:r>
        <w:rPr>
          <w:rFonts w:hint="eastAsia" w:ascii="楷体" w:hAnsi="楷体" w:eastAsia="楷体"/>
          <w:b/>
          <w:color w:val="000000" w:themeColor="text1"/>
          <w:sz w:val="24"/>
          <w:szCs w:val="24"/>
          <w14:textFill>
            <w14:solidFill>
              <w14:schemeClr w14:val="tx1"/>
            </w14:solidFill>
          </w14:textFill>
        </w:rPr>
        <w:t>聚烯烃：</w:t>
      </w:r>
      <w:bookmarkEnd w:id="31"/>
      <w:r>
        <w:rPr>
          <w:rFonts w:hint="eastAsia" w:ascii="楷体" w:hAnsi="楷体" w:eastAsia="楷体"/>
          <w:b/>
          <w:color w:val="000000" w:themeColor="text1"/>
          <w:sz w:val="24"/>
          <w:szCs w:val="24"/>
          <w14:textFill>
            <w14:solidFill>
              <w14:schemeClr w14:val="tx1"/>
            </w14:solidFill>
          </w14:textFill>
        </w:rPr>
        <w:t xml:space="preserve">市场多空因素交织，PE整体强于PP      </w:t>
      </w:r>
    </w:p>
    <w:p>
      <w:pPr>
        <w:ind w:left="630" w:leftChars="300"/>
        <w:rPr>
          <w:rFonts w:ascii="楷体" w:hAnsi="楷体" w:eastAsia="楷体"/>
          <w:bCs/>
          <w:sz w:val="24"/>
          <w:szCs w:val="24"/>
        </w:rPr>
      </w:pPr>
      <w:r>
        <w:rPr>
          <w:rFonts w:hint="eastAsia" w:ascii="楷体" w:hAnsi="楷体" w:eastAsia="楷体"/>
          <w:color w:val="000000" w:themeColor="text1"/>
          <w:sz w:val="24"/>
          <w:szCs w:val="24"/>
          <w14:textFill>
            <w14:solidFill>
              <w14:schemeClr w14:val="tx1"/>
            </w14:solidFill>
          </w14:textFill>
        </w:rPr>
        <w:t>目前聚烯烃上游石化库存为99万吨，较春节前累库41.5万吨，与去年同期相比增幅较大，库存压力较大。聚烯烃自身开工负荷变动不大，但下游进入集中停工期，春节期间开工率大幅走低，需求降至年内冰点。进口方面，LL进口窗口打开，PP进口窗口关闭。聚烯烃基本面变动不大，在地膜即将进入旺产季之时，建议逢低多L，逢高空PP性价比更高。</w:t>
      </w:r>
    </w:p>
    <w:p>
      <w:pPr>
        <w:rPr>
          <w:rFonts w:ascii="楷体" w:hAnsi="楷体" w:eastAsia="楷体"/>
          <w:bCs/>
          <w:sz w:val="24"/>
          <w:szCs w:val="24"/>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32" w:name="_Toc21465"/>
      <w:r>
        <w:rPr>
          <w:rFonts w:hint="eastAsia" w:ascii="楷体" w:hAnsi="楷体" w:eastAsia="楷体"/>
          <w:b/>
          <w:color w:val="000000" w:themeColor="text1"/>
          <w:sz w:val="24"/>
          <w:szCs w:val="24"/>
          <w14:textFill>
            <w14:solidFill>
              <w14:schemeClr w14:val="tx1"/>
            </w14:solidFill>
          </w14:textFill>
        </w:rPr>
        <w:t>玻璃：</w:t>
      </w:r>
      <w:bookmarkEnd w:id="32"/>
      <w:r>
        <w:rPr>
          <w:rFonts w:hint="eastAsia" w:ascii="楷体" w:hAnsi="楷体" w:eastAsia="楷体"/>
          <w:b/>
          <w:color w:val="000000" w:themeColor="text1"/>
          <w:sz w:val="24"/>
          <w:szCs w:val="24"/>
          <w14:textFill>
            <w14:solidFill>
              <w14:schemeClr w14:val="tx1"/>
            </w14:solidFill>
          </w14:textFill>
        </w:rPr>
        <w:t>现货周末大幅下跌，期价弱势震荡</w:t>
      </w: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隆众资讯3月13日报道:今日浮法玻璃现货价格1920元/吨，较上一交易日持平。供给上，全国浮法玻璃日产量为17.36万吨，供给高位。库存上，截止到20240307，全国浮法玻璃样本企业总库存5924.3万重箱，环比+352.1万重箱，环比+6.32%，从本周产销来看，延续疲软态势，预计延续累库。从需求看，下游恢复较慢，上游沙河湖北主产区原片厂和中游贸易商库存降价清库存，下游回款差，补库谨慎，刚需为主。盘面上受周末现货降价影响，期价跌破年线后继续下行，弱需求下短线情绪偏空，后市可关注1500-1550附近成本支撑。</w:t>
      </w:r>
    </w:p>
    <w:p>
      <w:pPr>
        <w:ind w:left="630" w:leftChars="300"/>
        <w:rPr>
          <w:rFonts w:hint="eastAsia" w:ascii="楷体" w:hAnsi="楷体" w:eastAsia="楷体"/>
          <w:color w:val="000000" w:themeColor="text1"/>
          <w:sz w:val="24"/>
          <w:szCs w:val="24"/>
          <w14:textFill>
            <w14:solidFill>
              <w14:schemeClr w14:val="tx1"/>
            </w14:solidFill>
          </w14:textFill>
        </w:rPr>
      </w:pPr>
    </w:p>
    <w:p>
      <w:pPr>
        <w:ind w:left="420" w:leftChars="200"/>
        <w:outlineLvl w:val="1"/>
        <w:rPr>
          <w:rFonts w:hint="eastAsia" w:ascii="楷体" w:hAnsi="楷体" w:eastAsia="楷体"/>
          <w:b/>
          <w:color w:val="000000" w:themeColor="text1"/>
          <w:sz w:val="24"/>
          <w:szCs w:val="24"/>
          <w:lang w:val="en-US" w:eastAsia="zh-CN"/>
          <w14:textFill>
            <w14:solidFill>
              <w14:schemeClr w14:val="tx1"/>
            </w14:solidFill>
          </w14:textFill>
        </w:rPr>
      </w:pPr>
      <w:bookmarkStart w:id="33" w:name="_Toc16544"/>
      <w:r>
        <w:rPr>
          <w:rFonts w:hint="eastAsia" w:ascii="楷体" w:hAnsi="楷体" w:eastAsia="楷体"/>
          <w:b/>
          <w:color w:val="000000" w:themeColor="text1"/>
          <w:sz w:val="24"/>
          <w:szCs w:val="24"/>
          <w14:textFill>
            <w14:solidFill>
              <w14:schemeClr w14:val="tx1"/>
            </w14:solidFill>
          </w14:textFill>
        </w:rPr>
        <w:t>纯碱：</w:t>
      </w:r>
      <w:bookmarkEnd w:id="33"/>
      <w:r>
        <w:rPr>
          <w:rFonts w:hint="eastAsia" w:ascii="楷体" w:hAnsi="楷体" w:eastAsia="楷体"/>
          <w:b/>
          <w:color w:val="000000" w:themeColor="text1"/>
          <w:sz w:val="24"/>
          <w:szCs w:val="24"/>
          <w14:textFill>
            <w14:solidFill>
              <w14:schemeClr w14:val="tx1"/>
            </w14:solidFill>
          </w14:textFill>
        </w:rPr>
        <w:t>下游采购情绪转弱，关注反弹后套保压力</w:t>
      </w:r>
    </w:p>
    <w:p>
      <w:pPr>
        <w:ind w:left="630" w:leftChars="300"/>
        <w:rPr>
          <w:rFonts w:ascii="楷体" w:hAnsi="楷体" w:eastAsia="楷体"/>
          <w:bCs/>
          <w:sz w:val="24"/>
          <w:szCs w:val="24"/>
        </w:rPr>
      </w:pPr>
      <w:r>
        <w:rPr>
          <w:rFonts w:hint="eastAsia" w:ascii="楷体" w:hAnsi="楷体" w:eastAsia="楷体"/>
          <w:color w:val="000000" w:themeColor="text1"/>
          <w:sz w:val="24"/>
          <w:szCs w:val="24"/>
          <w14:textFill>
            <w14:solidFill>
              <w14:schemeClr w14:val="tx1"/>
            </w14:solidFill>
          </w14:textFill>
        </w:rPr>
        <w:t>周内纯碱现货端稳价，河北、河南等地重碱价格在1950-2000元/吨附近成交较多，消息面上碱厂联合挺价，轻碱销售较好，但临近周末，补库积极性减弱。从供给端来看，隆众资讯3月7日报道:周纯碱产量74.71万吨，环比增加0.4万吨，涨幅0.54%，3月中下旬有部分检修计划检修，同期青海地区产量回升，预计周度产量维持在72-73万吨附近。从库存上看，周一隆众数据显示:国内纯碱厂家总库存79.67万吨，环比上周四下降7.37万吨，降幅8.47%，去库良好，但周二周三产销回落，库存小幅回升。需求上，玻璃厂重碱有进口碱补充，维持刚需;轻碱价格回升，刺激下游开始补库，从刚需来看，周度表需大约在63-64万吨，纯碱要大幅去库，那么周度表需要提升到75万吨以上，下游消耗空间有限，补库时间可能在1-2周，大规模集中补库或难以长时间持续。盘面的上周受到消息面和去库刺激反弹，但在未看到供给端减产之前，中期累库趋势难改，期价收至平水或小幅升水位置，给期现和碱厂较好的套保和套利空间。操作上，建议高空。</w:t>
      </w:r>
    </w:p>
    <w:p>
      <w:pPr>
        <w:ind w:firstLine="480" w:firstLineChars="200"/>
        <w:rPr>
          <w:rFonts w:ascii="楷体" w:hAnsi="楷体" w:eastAsia="楷体"/>
          <w:bCs/>
          <w:sz w:val="24"/>
          <w:szCs w:val="24"/>
        </w:rPr>
      </w:pPr>
    </w:p>
    <w:p>
      <w:pPr>
        <w:ind w:firstLine="420" w:firstLineChars="200"/>
        <w:rPr>
          <w:rFonts w:ascii="Times New Roman" w:hAnsi="Times New Roman" w:eastAsia="楷体"/>
          <w:bCs/>
        </w:rPr>
      </w:pPr>
    </w:p>
    <w:p>
      <w:pPr>
        <w:pBdr>
          <w:top w:val="single" w:color="auto" w:sz="4" w:space="1"/>
        </w:pBdr>
        <w:outlineLvl w:val="0"/>
        <w:rPr>
          <w:rFonts w:ascii="楷体" w:hAnsi="楷体" w:eastAsia="楷体"/>
          <w:bCs/>
          <w:sz w:val="24"/>
          <w:szCs w:val="24"/>
        </w:rPr>
      </w:pPr>
      <w:r>
        <w:rPr>
          <w:rFonts w:hint="eastAsia" w:ascii="Times New Roman" w:hAnsi="Times New Roman" w:eastAsia="楷体"/>
          <w:b/>
          <w:color w:val="823C0B"/>
          <w:sz w:val="30"/>
          <w:szCs w:val="30"/>
        </w:rPr>
        <w:t xml:space="preserve"> </w:t>
      </w:r>
      <w:bookmarkStart w:id="34" w:name="_Toc3161"/>
      <w:r>
        <w:rPr>
          <w:rFonts w:hint="eastAsia" w:ascii="Times New Roman" w:hAnsi="Times New Roman" w:eastAsia="楷体"/>
          <w:b/>
          <w:color w:val="823C0B"/>
          <w:sz w:val="30"/>
          <w:szCs w:val="30"/>
        </w:rPr>
        <w:t>[农产品]</w:t>
      </w:r>
      <w:bookmarkEnd w:id="14"/>
      <w:bookmarkEnd w:id="34"/>
    </w:p>
    <w:p>
      <w:pPr>
        <w:pStyle w:val="93"/>
        <w:spacing w:before="60" w:beforeAutospacing="0" w:after="60" w:afterAutospacing="0"/>
        <w:ind w:left="420" w:leftChars="200"/>
        <w:outlineLvl w:val="1"/>
        <w:rPr>
          <w:rFonts w:ascii="楷体" w:hAnsi="楷体" w:eastAsia="楷体"/>
          <w:b/>
        </w:rPr>
      </w:pPr>
      <w:bookmarkStart w:id="35" w:name="_Toc3694"/>
      <w:r>
        <w:rPr>
          <w:rFonts w:hint="eastAsia" w:ascii="楷体" w:hAnsi="楷体" w:eastAsia="楷体"/>
          <w:b/>
          <w:bCs/>
          <w:color w:val="000000" w:themeColor="text1"/>
          <w14:textFill>
            <w14:solidFill>
              <w14:schemeClr w14:val="tx1"/>
            </w14:solidFill>
          </w14:textFill>
        </w:rPr>
        <w:t>玉米与淀粉：</w:t>
      </w:r>
      <w:bookmarkEnd w:id="35"/>
      <w:r>
        <w:rPr>
          <w:rFonts w:hint="eastAsia" w:ascii="楷体" w:hAnsi="楷体" w:eastAsia="楷体"/>
          <w:b/>
        </w:rPr>
        <w:t>期价继续震荡运行</w:t>
      </w:r>
    </w:p>
    <w:p>
      <w:pPr>
        <w:pStyle w:val="93"/>
        <w:spacing w:before="0" w:beforeAutospacing="0" w:after="60" w:afterAutospacing="0"/>
        <w:ind w:left="630" w:leftChars="300"/>
        <w:rPr>
          <w:rFonts w:hint="eastAsia" w:ascii="楷体" w:hAnsi="楷体" w:eastAsia="楷体"/>
        </w:rPr>
      </w:pPr>
      <w:r>
        <w:rPr>
          <w:rFonts w:hint="eastAsia" w:ascii="楷体" w:hAnsi="楷体" w:eastAsia="楷体"/>
        </w:rPr>
        <w:t>对于玉米而言，节后以来期现货上涨之后，期价转为震荡调整，市场可能存在两个方面的担忧，其一是担心为后期气温上升之后，余粮特别是地趴粮带来的供应压力；其二是担心进口储备投放，再加上国内价格上涨使得内外价差走扩，市场会担心进口增量来补充国内玉米产需缺口。换句话说，市场短期会再度担心阶段性供应压力，中长期产需缺口预期转变亦尚未成为市场共识，这需要市场逐步证实。我们维持谨慎看多观点，建议投资者持有前期多单，如无前期多单则可考虑择机入场做多。</w:t>
      </w:r>
    </w:p>
    <w:p>
      <w:pPr>
        <w:pStyle w:val="93"/>
        <w:spacing w:before="0" w:beforeAutospacing="0" w:after="60" w:afterAutospacing="0"/>
        <w:ind w:left="630" w:leftChars="300"/>
        <w:rPr>
          <w:rFonts w:ascii="楷体" w:hAnsi="楷体" w:eastAsia="楷体"/>
        </w:rPr>
      </w:pPr>
      <w:r>
        <w:rPr>
          <w:rFonts w:hint="eastAsia" w:ascii="楷体" w:hAnsi="楷体" w:eastAsia="楷体"/>
        </w:rPr>
        <w:t>对于淀粉而言，近期淀粉-玉米价差收窄主要源于副产品端，即蛋白粕大幅反弹带来副产品价格回升的担忧，但其他三个方面暂存在支撑，行业供需中淀粉行业库存已经连续两周下滑，原料端华北-东北玉米价差小幅走扩，而现货基差则再度走强。在我们看来，考虑到盘面生产利润已进入亏损状况，在副产品和行业供需尚未确认之前，暂不适合入场做缩淀粉-玉米价差。综上所述，我们持谨慎看多观点，建议节前多单可以考虑继续持有，套利方面则暂以观望为宜。</w:t>
      </w:r>
    </w:p>
    <w:p>
      <w:pPr>
        <w:pStyle w:val="93"/>
        <w:spacing w:before="60" w:beforeAutospacing="0" w:after="60" w:afterAutospacing="0"/>
        <w:ind w:left="630" w:leftChars="300"/>
        <w:rPr>
          <w:rFonts w:ascii="楷体" w:hAnsi="楷体" w:eastAsia="楷体"/>
        </w:rPr>
      </w:pPr>
    </w:p>
    <w:p>
      <w:pPr>
        <w:pStyle w:val="93"/>
        <w:spacing w:before="60" w:beforeAutospacing="0" w:after="60" w:afterAutospacing="0"/>
        <w:ind w:left="420" w:leftChars="200"/>
        <w:outlineLvl w:val="1"/>
        <w:rPr>
          <w:rFonts w:ascii="楷体" w:hAnsi="楷体" w:eastAsia="楷体"/>
          <w:b/>
          <w:bCs/>
          <w:color w:val="000000" w:themeColor="text1"/>
          <w14:textFill>
            <w14:solidFill>
              <w14:schemeClr w14:val="tx1"/>
            </w14:solidFill>
          </w14:textFill>
        </w:rPr>
      </w:pPr>
      <w:bookmarkStart w:id="36" w:name="_Toc17953"/>
      <w:r>
        <w:rPr>
          <w:rFonts w:hint="eastAsia" w:ascii="楷体" w:hAnsi="楷体" w:eastAsia="楷体"/>
          <w:b/>
          <w:bCs/>
          <w:color w:val="000000" w:themeColor="text1"/>
          <w14:textFill>
            <w14:solidFill>
              <w14:schemeClr w14:val="tx1"/>
            </w14:solidFill>
          </w14:textFill>
        </w:rPr>
        <w:t>畜禽养殖：</w:t>
      </w:r>
      <w:bookmarkEnd w:id="36"/>
      <w:r>
        <w:rPr>
          <w:rFonts w:hint="eastAsia" w:ascii="楷体" w:hAnsi="楷体" w:eastAsia="楷体"/>
          <w:b/>
          <w:bCs/>
          <w:color w:val="000000" w:themeColor="text1"/>
          <w14:textFill>
            <w14:solidFill>
              <w14:schemeClr w14:val="tx1"/>
            </w14:solidFill>
          </w14:textFill>
        </w:rPr>
        <w:t>期价继续近弱远强分化运行</w:t>
      </w:r>
    </w:p>
    <w:p>
      <w:pPr>
        <w:pStyle w:val="93"/>
        <w:spacing w:before="0" w:beforeAutospacing="0" w:after="60" w:afterAutospacing="0"/>
        <w:ind w:left="630" w:leftChars="300"/>
        <w:rPr>
          <w:rFonts w:hint="eastAsia" w:ascii="楷体" w:hAnsi="楷体" w:eastAsia="楷体"/>
        </w:rPr>
      </w:pPr>
      <w:r>
        <w:rPr>
          <w:rFonts w:hint="eastAsia" w:ascii="楷体" w:hAnsi="楷体" w:eastAsia="楷体"/>
        </w:rPr>
        <w:t>对于生猪而言，目前期价结构呈现远月升水结构，表明市场对远期供需预期趋于乐观，这主要源于产能去化即能繁母猪存栏的持续下降，但市场对其改善幅度存在分歧，特别是春节前仔猪现货价格大幅上涨之后，因其使得母猪养殖变得盈利，这将抑制产能的继续去化。而对于近期供需而言 ，从农业农村部公布的四季度末生猪存栏可以看出，生猪供应有望低于去年同期，但考虑到需求季节性因素，能否改变供需格局尚未可知，去年四季度豆粕和玉米的大幅下跌，生猪养殖饲料成本显著低于去年同期，在这种供需格局和饲料成本的背景下，接下来的现货涨幅存在不确定性。当前期价近强远弱，近月基差走弱，而远月基差走强，表明市场相对看多近月，这主要源于市场的惜售心理和潜在的二次育肥，这种走势与去年2月期间颇为相似，在这种情况下，需要特别留意接下来的现货走势。据此我们维持中性观点，建议谨慎投资者观望，激进投资者可以考虑短线操作。</w:t>
      </w:r>
    </w:p>
    <w:p>
      <w:pPr>
        <w:pStyle w:val="93"/>
        <w:spacing w:before="0" w:beforeAutospacing="0" w:after="60" w:afterAutospacing="0"/>
        <w:ind w:left="630" w:leftChars="300"/>
        <w:rPr>
          <w:rFonts w:ascii="楷体" w:hAnsi="楷体" w:eastAsia="楷体"/>
        </w:rPr>
      </w:pPr>
      <w:r>
        <w:rPr>
          <w:rFonts w:hint="eastAsia" w:ascii="楷体" w:hAnsi="楷体" w:eastAsia="楷体"/>
        </w:rPr>
        <w:t>对于鸡蛋而言，分析市场可以看出，节前期价持续下跌，主要源于两个方面，其一是饲料原料成本的下滑，其二也是根本原因则在于供应端的增长，卓创资讯数据显示，在产蛋鸡存栏连续环比增加，考虑到今年节后以来蛋鸡苗销量均同比增加，而蛋鸡淘汰量持续处于历史低位水平，蛋鸡淘汰日龄则持续位于历史同期高位。接下来中期需要留意两个方面，其一是饲料原料成本的变化；其二是养殖户补栏和淘汰积极性的变化，随着鸡蛋现货价格的下跌，蛋鸡养殖利润亦随之下滑，养殖户淘汰积极性持续较高。考虑到节后现货已季节性回落，中期与短期利空因素或已经在很大程度上得以释放，继续下跌空间或有限，接下来或震荡反弹或趋于调整。我们维持中性观点，建议投资者观望，可考虑参与短线操作。</w:t>
      </w:r>
    </w:p>
    <w:p>
      <w:pPr>
        <w:ind w:firstLine="480" w:firstLineChars="200"/>
        <w:rPr>
          <w:rFonts w:ascii="楷体" w:hAnsi="楷体" w:eastAsia="楷体"/>
          <w:sz w:val="24"/>
          <w:szCs w:val="24"/>
        </w:rPr>
      </w:pPr>
    </w:p>
    <w:p>
      <w:pPr>
        <w:ind w:firstLine="480" w:firstLineChars="200"/>
        <w:rPr>
          <w:rFonts w:ascii="楷体" w:hAnsi="楷体" w:eastAsia="楷体"/>
          <w:bCs/>
          <w:sz w:val="24"/>
          <w:szCs w:val="24"/>
        </w:rPr>
      </w:pPr>
    </w:p>
    <w:p>
      <w:pPr>
        <w:pBdr>
          <w:top w:val="single" w:color="auto" w:sz="4" w:space="0"/>
        </w:pBdr>
        <w:outlineLvl w:val="0"/>
        <w:rPr>
          <w:rFonts w:ascii="Times New Roman" w:hAnsi="Times New Roman" w:eastAsia="楷体"/>
          <w:b/>
          <w:color w:val="823C0B"/>
        </w:rPr>
      </w:pPr>
      <w:bookmarkStart w:id="37" w:name="_Toc23587"/>
      <w:r>
        <w:rPr>
          <w:rFonts w:hint="eastAsia" w:ascii="Times New Roman" w:hAnsi="Times New Roman" w:eastAsia="楷体"/>
          <w:b/>
          <w:color w:val="823C0B"/>
          <w:sz w:val="30"/>
          <w:szCs w:val="30"/>
        </w:rPr>
        <w:t>[指数]</w:t>
      </w:r>
      <w:bookmarkEnd w:id="37"/>
    </w:p>
    <w:p>
      <w:pPr>
        <w:ind w:left="420" w:leftChars="200"/>
        <w:outlineLvl w:val="1"/>
        <w:rPr>
          <w:rFonts w:ascii="Times New Roman" w:hAnsi="Times New Roman" w:eastAsia="楷体"/>
          <w:b/>
          <w:color w:val="000000" w:themeColor="text1"/>
          <w:sz w:val="24"/>
          <w:szCs w:val="24"/>
          <w14:textFill>
            <w14:solidFill>
              <w14:schemeClr w14:val="tx1"/>
            </w14:solidFill>
          </w14:textFill>
        </w:rPr>
      </w:pPr>
      <w:bookmarkStart w:id="38" w:name="_Toc15862"/>
      <w:r>
        <w:rPr>
          <w:rFonts w:hint="eastAsia" w:ascii="Times New Roman" w:hAnsi="Times New Roman" w:eastAsia="楷体"/>
          <w:b/>
          <w:color w:val="000000" w:themeColor="text1"/>
          <w:sz w:val="24"/>
          <w:szCs w:val="24"/>
          <w14:textFill>
            <w14:solidFill>
              <w14:schemeClr w14:val="tx1"/>
            </w14:solidFill>
          </w14:textFill>
        </w:rPr>
        <w:t>集运指数（欧线）：</w:t>
      </w:r>
      <w:bookmarkEnd w:id="38"/>
      <w:r>
        <w:rPr>
          <w:rFonts w:hint="eastAsia" w:ascii="Times New Roman" w:hAnsi="Times New Roman" w:eastAsia="楷体"/>
          <w:b/>
          <w:color w:val="000000" w:themeColor="text1"/>
          <w:sz w:val="24"/>
          <w:szCs w:val="24"/>
          <w14:textFill>
            <w14:solidFill>
              <w14:schemeClr w14:val="tx1"/>
            </w14:solidFill>
          </w14:textFill>
        </w:rPr>
        <w:t>指数处于下行通道，EC盘面或维持弱势</w:t>
      </w:r>
    </w:p>
    <w:p>
      <w:pPr>
        <w:ind w:left="630" w:leftChars="300"/>
        <w:rPr>
          <w:rFonts w:hint="eastAsia"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昨日盘后公布SCFIS欧洲航线运价指数为2533.68点，环比下行11.1%。目前主力合约贴水标的现货指数近700点，基差进一步得到收敛。3月8日，上海港出口至欧洲基本港市场运价为2134美元/TEU，较上期下跌6.3%。</w:t>
      </w:r>
    </w:p>
    <w:p>
      <w:pPr>
        <w:ind w:left="630" w:leftChars="300"/>
        <w:rPr>
          <w:rFonts w:hint="eastAsia"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目前哈以谈判尚无结果，双方均维持强硬态度，预计斋月停火预期基本落空，中东紧张局势暂无缓和迹象。同时根据最新消息达飞重新评估红海南部地区的情况，考虑个别船只通航红海。</w:t>
      </w:r>
    </w:p>
    <w:p>
      <w:pPr>
        <w:ind w:left="630" w:leftChars="300"/>
        <w:rPr>
          <w:rFonts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需求方面，春节后工厂开工、货运需求进入淡季。因此周期性因素拖动EC转弱势，但目前期价贴水仍然较深，同时目前至4月交割日时间有限，现货价格逐步向下收敛，但期货下限空间或有限，因此预计期货价格继续弱震荡。</w:t>
      </w:r>
    </w:p>
    <w:p>
      <w:pPr>
        <w:ind w:firstLine="602" w:firstLineChars="200"/>
        <w:rPr>
          <w:rFonts w:ascii="Times New Roman" w:hAnsi="Times New Roman" w:eastAsia="楷体"/>
          <w:b/>
          <w:color w:val="800000"/>
          <w:sz w:val="30"/>
          <w:szCs w:val="30"/>
        </w:rPr>
      </w:pPr>
      <w:r>
        <w:rPr>
          <w:rFonts w:ascii="Times New Roman" w:hAnsi="Times New Roman" w:eastAsia="楷体"/>
          <w:b/>
          <w:color w:val="800000"/>
          <w:sz w:val="30"/>
          <w:szCs w:val="30"/>
        </w:rPr>
        <w:br w:type="page"/>
      </w:r>
    </w:p>
    <w:p>
      <w:pPr>
        <w:spacing w:line="360" w:lineRule="auto"/>
        <w:jc w:val="center"/>
        <w:rPr>
          <w:rFonts w:ascii="Times New Roman" w:hAnsi="Times New Roman" w:eastAsia="楷体"/>
          <w:b/>
          <w:color w:val="411D05"/>
          <w:sz w:val="30"/>
          <w:szCs w:val="30"/>
        </w:rPr>
      </w:pPr>
      <w:bookmarkStart w:id="39" w:name="_Toc12779"/>
      <w:bookmarkStart w:id="40" w:name="_Toc19667"/>
      <w:bookmarkStart w:id="41" w:name="_Toc71212556"/>
      <w:bookmarkStart w:id="42" w:name="_Toc98426751"/>
      <w:bookmarkStart w:id="43" w:name="_Toc72481108"/>
      <w:r>
        <w:rPr>
          <w:rFonts w:ascii="Times New Roman" w:hAnsi="Times New Roman" w:eastAsia="楷体"/>
          <w:b/>
          <w:color w:val="411D05"/>
          <w:sz w:val="30"/>
          <w:szCs w:val="30"/>
        </w:rPr>
        <w:t>免责声明</w:t>
      </w:r>
      <w:bookmarkEnd w:id="39"/>
      <w:bookmarkEnd w:id="40"/>
      <w:bookmarkEnd w:id="41"/>
      <w:bookmarkEnd w:id="42"/>
      <w:bookmarkEnd w:id="43"/>
    </w:p>
    <w:p>
      <w:pPr>
        <w:widowControl/>
        <w:ind w:firstLine="422" w:firstLineChars="200"/>
        <w:jc w:val="left"/>
        <w:rPr>
          <w:rFonts w:ascii="Times New Roman" w:hAnsi="Times New Roman" w:eastAsia="楷体"/>
          <w:b/>
          <w:bCs/>
          <w:color w:val="C00000"/>
        </w:rPr>
      </w:pPr>
      <w:r>
        <w:rPr>
          <w:rFonts w:hint="eastAsia" w:ascii="Times New Roman" w:hAnsi="Times New Roman" w:eastAsia="楷体"/>
          <w:b/>
          <w:bCs/>
          <w:color w:val="C00000"/>
        </w:rPr>
        <w:t>本报告由广州期货股份有限公司（以下简称“本公司”）编制，本公司具有中国证监会许可的期货公司投资咨询业务资格，本报告基于合法取得的信息，但本公司对这些信息的准确性和完整性不作任何保证，也不保证所包含的信息和建议不会发生任何变更。</w:t>
      </w:r>
    </w:p>
    <w:p>
      <w:pPr>
        <w:widowControl/>
        <w:ind w:firstLine="422" w:firstLineChars="200"/>
        <w:jc w:val="left"/>
        <w:rPr>
          <w:rFonts w:ascii="Times New Roman" w:hAnsi="Times New Roman" w:eastAsia="楷体"/>
          <w:b/>
          <w:bCs/>
          <w:color w:val="C00000"/>
        </w:rPr>
      </w:pPr>
      <w:r>
        <w:rPr>
          <w:rFonts w:hint="eastAsia" w:ascii="Times New Roman" w:hAnsi="Times New Roman" w:eastAsia="楷体"/>
          <w:b/>
          <w:bCs/>
          <w:color w:val="C00000"/>
        </w:rPr>
        <w:t>我们已力求报告内容的客观、公正，但文中的观点、结论和建议仅供参考，并不构成所述品种的操作依据，投资者据此做出的任何投资决策与本公司和作者无关。在任何情况下，本公司以及雇员不对任何人因使用本报告中的任何内容所引发的任何直接或间接损失负任何责任。</w:t>
      </w:r>
    </w:p>
    <w:p>
      <w:pPr>
        <w:widowControl/>
        <w:ind w:firstLine="422" w:firstLineChars="200"/>
        <w:jc w:val="left"/>
        <w:rPr>
          <w:rFonts w:ascii="Times New Roman" w:hAnsi="Times New Roman" w:eastAsia="楷体"/>
          <w:b/>
          <w:bCs/>
          <w:color w:val="C00000"/>
        </w:rPr>
      </w:pPr>
      <w:r>
        <w:rPr>
          <w:rFonts w:hint="eastAsia" w:ascii="Times New Roman" w:hAnsi="Times New Roman" w:eastAsia="楷体"/>
          <w:b/>
          <w:bCs/>
          <w:color w:val="C00000"/>
        </w:rPr>
        <w:t>本报告版权归本公司所有，本公司保留所有权利。未经本公司事先书面许可，任何机构和个人不得以任何形式翻版、复制、引用或转载本报告的全部或部分内容，不得再次分发给任何其他人，或以任何侵犯本公司版权的其他方式使用。如引用、刊发，须注明出处为广州期货股份有限公司，且不得对本报告进行有悖原意的引用、删节和修改。</w:t>
      </w:r>
    </w:p>
    <w:p>
      <w:pPr>
        <w:ind w:firstLine="422" w:firstLineChars="200"/>
        <w:rPr>
          <w:rFonts w:ascii="Times New Roman" w:hAnsi="Times New Roman" w:eastAsia="楷体"/>
        </w:rPr>
      </w:pPr>
      <w:r>
        <w:rPr>
          <w:rFonts w:hint="eastAsia" w:ascii="Times New Roman" w:hAnsi="Times New Roman" w:eastAsia="楷体"/>
          <w:b/>
          <w:bCs/>
          <w:color w:val="C00000"/>
        </w:rPr>
        <w:t>广州期货股份有限公司提醒广大投资者：期市有风险，入市需谨慎！</w:t>
      </w:r>
    </w:p>
    <w:p>
      <w:pPr>
        <w:ind w:firstLine="420" w:firstLineChars="200"/>
        <w:rPr>
          <w:rFonts w:ascii="Times New Roman" w:hAnsi="Times New Roman" w:eastAsia="楷体"/>
        </w:rPr>
      </w:pPr>
    </w:p>
    <w:p>
      <w:pPr>
        <w:ind w:firstLine="420" w:firstLineChars="200"/>
        <w:rPr>
          <w:rFonts w:ascii="Times New Roman" w:hAnsi="Times New Roman" w:eastAsia="楷体"/>
        </w:rPr>
      </w:pPr>
    </w:p>
    <w:p>
      <w:pPr>
        <w:jc w:val="left"/>
        <w:rPr>
          <w:rFonts w:ascii="Times New Roman" w:hAnsi="Times New Roman" w:eastAsia="楷体"/>
          <w:b/>
          <w:color w:val="823C0B"/>
          <w:sz w:val="28"/>
        </w:rPr>
      </w:pPr>
      <w:r>
        <w:rPr>
          <w:rFonts w:ascii="Times New Roman" w:hAnsi="Times New Roman" w:eastAsia="楷体"/>
          <w:b/>
          <w:color w:val="823C0B"/>
          <w:sz w:val="28"/>
        </w:rPr>
        <w:t xml:space="preserve">投资咨询业务资格:证监许可【2012】1497号 </w:t>
      </w:r>
    </w:p>
    <w:p>
      <w:pPr>
        <w:ind w:firstLine="440" w:firstLineChars="200"/>
        <w:rPr>
          <w:rFonts w:ascii="Times New Roman" w:hAnsi="Times New Roman" w:eastAsia="楷体" w:cs="Times New Roman"/>
          <w:sz w:val="22"/>
        </w:rPr>
      </w:pPr>
    </w:p>
    <w:tbl>
      <w:tblPr>
        <w:tblStyle w:val="89"/>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60"/>
        <w:gridCol w:w="42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0"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王荆杰</w:t>
            </w:r>
          </w:p>
          <w:p>
            <w:pPr>
              <w:tabs>
                <w:tab w:val="left" w:pos="1842"/>
              </w:tabs>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w:t>
            </w:r>
            <w:r>
              <w:rPr>
                <w:rFonts w:ascii="Times New Roman" w:hAnsi="Times New Roman" w:eastAsia="楷体" w:cs="Times New Roman"/>
                <w:color w:val="823C0B"/>
                <w:sz w:val="22"/>
              </w:rPr>
              <w:t>F3084112</w:t>
            </w:r>
            <w:r>
              <w:rPr>
                <w:rFonts w:hint="eastAsia" w:ascii="Times New Roman" w:hAnsi="Times New Roman" w:eastAsia="楷体" w:cs="Times New Roman"/>
                <w:color w:val="823C0B"/>
                <w:sz w:val="22"/>
              </w:rPr>
              <w:t xml:space="preserve">    </w:t>
            </w:r>
          </w:p>
          <w:p>
            <w:pPr>
              <w:tabs>
                <w:tab w:val="left" w:pos="1842"/>
              </w:tabs>
              <w:rPr>
                <w:rFonts w:ascii="Times New Roman" w:hAnsi="Times New Roman" w:eastAsia="楷体" w:cs="Times New Roman"/>
                <w:b/>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w:t>
            </w:r>
            <w:r>
              <w:rPr>
                <w:rFonts w:ascii="Times New Roman" w:hAnsi="Times New Roman" w:eastAsia="楷体" w:cs="Times New Roman"/>
                <w:color w:val="823C0B"/>
                <w:sz w:val="22"/>
              </w:rPr>
              <w:t>Z0016329</w:t>
            </w:r>
          </w:p>
        </w:tc>
        <w:tc>
          <w:tcPr>
            <w:tcW w:w="4262"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范红军</w:t>
            </w:r>
          </w:p>
          <w:p>
            <w:pPr>
              <w:tabs>
                <w:tab w:val="left" w:pos="1842"/>
              </w:tabs>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w:t>
            </w:r>
            <w:r>
              <w:rPr>
                <w:rFonts w:ascii="Times New Roman" w:hAnsi="Times New Roman" w:eastAsia="楷体" w:cs="Times New Roman"/>
                <w:color w:val="823C0B"/>
                <w:sz w:val="22"/>
              </w:rPr>
              <w:t>F03098791</w:t>
            </w:r>
          </w:p>
          <w:p>
            <w:pPr>
              <w:tabs>
                <w:tab w:val="left" w:pos="1842"/>
              </w:tabs>
              <w:rPr>
                <w:rFonts w:ascii="Times New Roman" w:hAnsi="Times New Roman" w:eastAsia="楷体" w:cs="Times New Roman"/>
                <w:b/>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：Z0017690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0"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李代</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：F03086605</w:t>
            </w:r>
          </w:p>
          <w:p>
            <w:pPr>
              <w:tabs>
                <w:tab w:val="left" w:pos="1842"/>
              </w:tabs>
              <w:rPr>
                <w:rFonts w:ascii="Times New Roman" w:hAnsi="Times New Roman" w:eastAsia="楷体" w:cs="Times New Roman"/>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：Z0016791</w:t>
            </w:r>
          </w:p>
        </w:tc>
        <w:tc>
          <w:tcPr>
            <w:tcW w:w="4262"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许克元</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：F3022666</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：Z0013612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0"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谢紫琪</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：F3032560</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：Z0014338</w:t>
            </w:r>
          </w:p>
        </w:tc>
        <w:tc>
          <w:tcPr>
            <w:tcW w:w="4262"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薛晴</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：F3035906</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：Z0016940</w:t>
            </w:r>
          </w:p>
        </w:tc>
      </w:tr>
    </w:tbl>
    <w:p>
      <w:pPr>
        <w:ind w:firstLine="420" w:firstLineChars="200"/>
        <w:rPr>
          <w:rFonts w:ascii="Times New Roman" w:hAnsi="Times New Roman" w:eastAsia="楷体"/>
        </w:rPr>
      </w:pPr>
    </w:p>
    <w:p>
      <w:pPr>
        <w:ind w:firstLine="420" w:firstLineChars="200"/>
        <w:rPr>
          <w:rFonts w:ascii="Times New Roman" w:hAnsi="Times New Roman" w:eastAsia="楷体"/>
        </w:rPr>
      </w:pPr>
    </w:p>
    <w:p>
      <w:pPr>
        <w:ind w:firstLine="420" w:firstLineChars="200"/>
        <w:rPr>
          <w:rFonts w:ascii="Times New Roman" w:hAnsi="Times New Roman" w:eastAsia="楷体"/>
        </w:rPr>
      </w:pPr>
    </w:p>
    <w:tbl>
      <w:tblPr>
        <w:tblStyle w:val="88"/>
        <w:tblW w:w="5000" w:type="pct"/>
        <w:jc w:val="center"/>
        <w:tblLayout w:type="autofit"/>
        <w:tblCellMar>
          <w:top w:w="0" w:type="dxa"/>
          <w:left w:w="108" w:type="dxa"/>
          <w:bottom w:w="0" w:type="dxa"/>
          <w:right w:w="108" w:type="dxa"/>
        </w:tblCellMar>
      </w:tblPr>
      <w:tblGrid>
        <w:gridCol w:w="8522"/>
      </w:tblGrid>
      <w:tr>
        <w:tblPrEx>
          <w:tblCellMar>
            <w:top w:w="0" w:type="dxa"/>
            <w:left w:w="108" w:type="dxa"/>
            <w:bottom w:w="0" w:type="dxa"/>
            <w:right w:w="108" w:type="dxa"/>
          </w:tblCellMar>
        </w:tblPrEx>
        <w:trPr>
          <w:jc w:val="center"/>
        </w:trPr>
        <w:tc>
          <w:tcPr>
            <w:tcW w:w="5000" w:type="pct"/>
            <w:shd w:val="clear" w:color="auto" w:fill="auto"/>
            <w:vAlign w:val="center"/>
          </w:tcPr>
          <w:p>
            <w:pPr>
              <w:rPr>
                <w:rFonts w:ascii="Times New Roman" w:hAnsi="Times New Roman" w:eastAsia="楷体"/>
                <w:b/>
                <w:bCs/>
                <w:color w:val="823C0B"/>
              </w:rPr>
            </w:pPr>
            <w:r>
              <w:rPr>
                <w:rFonts w:ascii="Times New Roman" w:hAnsi="Times New Roman" w:eastAsia="楷体"/>
                <w:bCs/>
                <w:color w:val="823C0B"/>
              </w:rPr>
              <w:t>办公地址：广州市天河区</w:t>
            </w:r>
            <w:r>
              <w:rPr>
                <w:rFonts w:hint="eastAsia" w:ascii="Times New Roman" w:hAnsi="Times New Roman" w:eastAsia="楷体"/>
                <w:bCs/>
                <w:color w:val="823C0B"/>
              </w:rPr>
              <w:t>临江大道1号寺右万科中心南塔</w:t>
            </w:r>
            <w:r>
              <w:rPr>
                <w:rFonts w:ascii="Times New Roman" w:hAnsi="Times New Roman" w:eastAsia="楷体"/>
                <w:bCs/>
                <w:color w:val="823C0B"/>
              </w:rPr>
              <w:t>6</w:t>
            </w:r>
            <w:r>
              <w:rPr>
                <w:rFonts w:hint="eastAsia" w:ascii="Times New Roman" w:hAnsi="Times New Roman" w:eastAsia="楷体"/>
                <w:bCs/>
                <w:color w:val="823C0B"/>
              </w:rPr>
              <w:t>层</w:t>
            </w:r>
          </w:p>
        </w:tc>
      </w:tr>
      <w:tr>
        <w:tblPrEx>
          <w:tblCellMar>
            <w:top w:w="0" w:type="dxa"/>
            <w:left w:w="108" w:type="dxa"/>
            <w:bottom w:w="0" w:type="dxa"/>
            <w:right w:w="108" w:type="dxa"/>
          </w:tblCellMar>
        </w:tblPrEx>
        <w:trPr>
          <w:jc w:val="center"/>
        </w:trPr>
        <w:tc>
          <w:tcPr>
            <w:tcW w:w="5000" w:type="pct"/>
            <w:shd w:val="clear" w:color="auto" w:fill="auto"/>
            <w:vAlign w:val="center"/>
          </w:tcPr>
          <w:p>
            <w:pPr>
              <w:jc w:val="left"/>
              <w:rPr>
                <w:rFonts w:ascii="Times New Roman" w:hAnsi="Times New Roman" w:eastAsia="楷体"/>
                <w:color w:val="823C0B"/>
              </w:rPr>
            </w:pPr>
            <w:r>
              <w:rPr>
                <w:rFonts w:hint="eastAsia" w:ascii="Times New Roman" w:hAnsi="Times New Roman" w:eastAsia="楷体"/>
                <w:bCs/>
                <w:color w:val="823C0B"/>
              </w:rPr>
              <w:t>联系方式: (020)22836102</w:t>
            </w:r>
          </w:p>
        </w:tc>
      </w:tr>
      <w:tr>
        <w:tblPrEx>
          <w:tblCellMar>
            <w:top w:w="0" w:type="dxa"/>
            <w:left w:w="108" w:type="dxa"/>
            <w:bottom w:w="0" w:type="dxa"/>
            <w:right w:w="108" w:type="dxa"/>
          </w:tblCellMar>
        </w:tblPrEx>
        <w:trPr>
          <w:jc w:val="center"/>
        </w:trPr>
        <w:tc>
          <w:tcPr>
            <w:tcW w:w="5000" w:type="pct"/>
            <w:shd w:val="clear" w:color="auto" w:fill="auto"/>
            <w:vAlign w:val="center"/>
          </w:tcPr>
          <w:p>
            <w:pPr>
              <w:jc w:val="left"/>
              <w:rPr>
                <w:rFonts w:ascii="Times New Roman" w:hAnsi="Times New Roman" w:eastAsia="楷体"/>
                <w:bCs/>
                <w:color w:val="823C0B"/>
              </w:rPr>
            </w:pPr>
            <w:r>
              <w:rPr>
                <w:rFonts w:ascii="Times New Roman" w:hAnsi="Times New Roman" w:eastAsia="楷体"/>
                <w:bCs/>
                <w:color w:val="823C0B"/>
              </w:rPr>
              <w:t>邮政编码：510627</w:t>
            </w:r>
          </w:p>
        </w:tc>
      </w:tr>
    </w:tbl>
    <w:p>
      <w:pPr>
        <w:ind w:firstLine="420" w:firstLineChars="200"/>
        <w:rPr>
          <w:rFonts w:ascii="Times New Roman" w:hAnsi="Times New Roman" w:eastAsia="楷体"/>
        </w:rPr>
      </w:pPr>
    </w:p>
    <w:p>
      <w:pPr>
        <w:ind w:firstLine="420" w:firstLineChars="200"/>
        <w:rPr>
          <w:rFonts w:ascii="Times New Roman" w:hAnsi="Times New Roman" w:eastAsia="楷体"/>
        </w:rPr>
      </w:pPr>
    </w:p>
    <w:p>
      <w:pPr>
        <w:pBdr>
          <w:top w:val="none" w:color="auto" w:sz="0" w:space="1"/>
          <w:left w:val="none" w:color="auto" w:sz="0" w:space="4"/>
          <w:bottom w:val="none" w:color="auto" w:sz="0" w:space="1"/>
          <w:right w:val="none" w:color="auto" w:sz="0" w:space="4"/>
        </w:pBdr>
      </w:pPr>
    </w:p>
    <w:sectPr>
      <w:footerReference r:id="rId7" w:type="first"/>
      <w:footerReference r:id="rId6" w:type="default"/>
      <w:pgSz w:w="11906" w:h="16838"/>
      <w:pgMar w:top="1440" w:right="1800" w:bottom="1440" w:left="1800" w:header="850" w:footer="1077"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Bdr>
        <w:top w:val="single" w:color="000000" w:sz="4" w:space="0"/>
      </w:pBdr>
      <w:jc w:val="both"/>
    </w:pPr>
    <w:r>
      <w:rPr>
        <w:rFonts w:hint="eastAsia" w:ascii="楷体" w:hAnsi="楷体" w:eastAsia="楷体" w:cs="Times New Roman"/>
        <w:b/>
        <w:color w:val="833C0B"/>
        <w:sz w:val="21"/>
        <w:lang w:bidi="ar"/>
      </w:rPr>
      <w:t>广州期货提醒各位投资者，期市有风险，入市需谨慎！请阅读文末免责声明</w:t>
    </w: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rPr>
                              <w:rFonts w:ascii="Times New Roman" w:hAnsi="Times New Roman" w:eastAsia="楷体" w:cs="Times New Roman"/>
                              <w:b/>
                              <w:color w:val="833C0B"/>
                              <w:sz w:val="21"/>
                              <w:lang w:bidi="ar"/>
                            </w:rPr>
                          </w:pPr>
                          <w:r>
                            <w:rPr>
                              <w:rFonts w:hint="eastAsia" w:ascii="Times New Roman" w:hAnsi="Times New Roman" w:eastAsia="楷体" w:cs="Times New Roman"/>
                              <w:b/>
                              <w:color w:val="833C0B"/>
                              <w:sz w:val="21"/>
                              <w:lang w:bidi="ar"/>
                            </w:rPr>
                            <w:t>Page 1</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55"/>
                      <w:rPr>
                        <w:rFonts w:ascii="Times New Roman" w:hAnsi="Times New Roman" w:eastAsia="楷体" w:cs="Times New Roman"/>
                        <w:b/>
                        <w:color w:val="833C0B"/>
                        <w:sz w:val="21"/>
                        <w:lang w:bidi="ar"/>
                      </w:rPr>
                    </w:pPr>
                    <w:r>
                      <w:rPr>
                        <w:rFonts w:hint="eastAsia" w:ascii="Times New Roman" w:hAnsi="Times New Roman" w:eastAsia="楷体" w:cs="Times New Roman"/>
                        <w:b/>
                        <w:color w:val="833C0B"/>
                        <w:sz w:val="21"/>
                        <w:lang w:bidi="ar"/>
                      </w:rPr>
                      <w:t>Page 1</w:t>
                    </w:r>
                  </w:p>
                </w:txbxContent>
              </v:textbox>
            </v:shape>
          </w:pict>
        </mc:Fallback>
      </mc:AlternateContent>
    </w:r>
    <w:r>
      <w:rPr>
        <w:rFonts w:hint="eastAsia" w:ascii="楷体" w:hAnsi="楷体" w:eastAsia="楷体" w:cs="Times New Roman"/>
        <w:b/>
        <w:color w:val="833C0B"/>
        <w:sz w:val="21"/>
        <w:lang w:bidi="ar"/>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Bdr>
        <w:top w:val="single" w:color="000000" w:sz="4" w:space="0"/>
      </w:pBdr>
      <w:jc w:val="both"/>
    </w:pPr>
    <w:r>
      <mc:AlternateContent>
        <mc:Choice Requires="wps">
          <w:drawing>
            <wp:anchor distT="0" distB="0" distL="114300" distR="114300" simplePos="0" relativeHeight="251662336" behindDoc="0" locked="0" layoutInCell="1" allowOverlap="1">
              <wp:simplePos x="0" y="0"/>
              <wp:positionH relativeFrom="margin">
                <wp:posOffset>4894580</wp:posOffset>
              </wp:positionH>
              <wp:positionV relativeFrom="paragraph">
                <wp:posOffset>-10795</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rPr>
                              <w:rFonts w:ascii="Times New Roman" w:hAnsi="Times New Roman" w:eastAsia="楷体" w:cs="Times New Roman"/>
                              <w:b/>
                              <w:color w:val="833C0B"/>
                              <w:sz w:val="21"/>
                              <w:lang w:bidi="ar"/>
                            </w:rPr>
                          </w:pPr>
                          <w:r>
                            <w:rPr>
                              <w:rFonts w:hint="eastAsia" w:ascii="Times New Roman" w:hAnsi="Times New Roman" w:eastAsia="楷体" w:cs="Times New Roman"/>
                              <w:b/>
                              <w:color w:val="833C0B"/>
                              <w:sz w:val="21"/>
                              <w:lang w:bidi="ar"/>
                            </w:rPr>
                            <w:t>Page</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385.4pt;margin-top:-0.85pt;height:144pt;width:144pt;mso-position-horizontal-relative:margin;mso-wrap-style:none;z-index:251662336;mso-width-relative:page;mso-height-relative:page;" filled="f" stroked="f" coordsize="21600,21600" o:gfxdata="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MpUetTYAAAACwEAAA8AAAAAAAAAAQAgAAAAIgAAAGRycy9kb3ducmV2LnhtbFBLAQIU&#10;ABQAAAAIAIdO4kAXDIm4LAIAAFUEAAAOAAAAAAAAAAEAIAAAACcBAABkcnMvZTJvRG9jLnhtbFBL&#10;BQYAAAAABgAGAFkBAADFBQAAAAA=&#10;">
              <v:fill on="f" focussize="0,0"/>
              <v:stroke on="f" weight="0.5pt"/>
              <v:imagedata o:title=""/>
              <o:lock v:ext="edit" aspectratio="f"/>
              <v:textbox inset="0mm,0mm,0mm,0mm" style="mso-fit-shape-to-text:t;">
                <w:txbxContent>
                  <w:p>
                    <w:pPr>
                      <w:pStyle w:val="55"/>
                      <w:rPr>
                        <w:rFonts w:ascii="Times New Roman" w:hAnsi="Times New Roman" w:eastAsia="楷体" w:cs="Times New Roman"/>
                        <w:b/>
                        <w:color w:val="833C0B"/>
                        <w:sz w:val="21"/>
                        <w:lang w:bidi="ar"/>
                      </w:rPr>
                    </w:pPr>
                    <w:r>
                      <w:rPr>
                        <w:rFonts w:hint="eastAsia" w:ascii="Times New Roman" w:hAnsi="Times New Roman" w:eastAsia="楷体" w:cs="Times New Roman"/>
                        <w:b/>
                        <w:color w:val="833C0B"/>
                        <w:sz w:val="21"/>
                        <w:lang w:bidi="ar"/>
                      </w:rPr>
                      <w:t>Page</w:t>
                    </w:r>
                  </w:p>
                </w:txbxContent>
              </v:textbox>
            </v:shape>
          </w:pict>
        </mc:Fallback>
      </mc:AlternateContent>
    </w:r>
    <w:r>
      <w:rPr>
        <w:sz w:val="21"/>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pPr>
                          <w:r>
                            <w:rPr>
                              <w:rFonts w:hint="eastAsia" w:ascii="Times New Roman" w:hAnsi="Times New Roman" w:eastAsia="楷体" w:cs="Times New Roman"/>
                              <w:b/>
                              <w:color w:val="833C0B"/>
                              <w:sz w:val="21"/>
                              <w:lang w:bidi="ar"/>
                            </w:rPr>
                            <w:fldChar w:fldCharType="begin"/>
                          </w:r>
                          <w:r>
                            <w:rPr>
                              <w:rFonts w:hint="eastAsia" w:ascii="Times New Roman" w:hAnsi="Times New Roman" w:eastAsia="楷体" w:cs="Times New Roman"/>
                              <w:b/>
                              <w:color w:val="833C0B"/>
                              <w:sz w:val="21"/>
                              <w:lang w:bidi="ar"/>
                            </w:rPr>
                            <w:instrText xml:space="preserve"> PAGE  \* MERGEFORMAT </w:instrText>
                          </w:r>
                          <w:r>
                            <w:rPr>
                              <w:rFonts w:hint="eastAsia" w:ascii="Times New Roman" w:hAnsi="Times New Roman" w:eastAsia="楷体" w:cs="Times New Roman"/>
                              <w:b/>
                              <w:color w:val="833C0B"/>
                              <w:sz w:val="21"/>
                              <w:lang w:bidi="ar"/>
                            </w:rPr>
                            <w:fldChar w:fldCharType="separate"/>
                          </w:r>
                          <w:r>
                            <w:rPr>
                              <w:rFonts w:ascii="Times New Roman" w:hAnsi="Times New Roman" w:eastAsia="楷体" w:cs="Times New Roman"/>
                              <w:b/>
                              <w:color w:val="833C0B"/>
                              <w:sz w:val="21"/>
                              <w:lang w:bidi="ar"/>
                            </w:rPr>
                            <w:t>1</w:t>
                          </w:r>
                          <w:r>
                            <w:rPr>
                              <w:rFonts w:hint="eastAsia" w:ascii="Times New Roman" w:hAnsi="Times New Roman" w:eastAsia="楷体" w:cs="Times New Roman"/>
                              <w:b/>
                              <w:color w:val="833C0B"/>
                              <w:sz w:val="21"/>
                              <w:lang w:bidi="ar"/>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pPr>
                      <w:pStyle w:val="55"/>
                    </w:pPr>
                    <w:r>
                      <w:rPr>
                        <w:rFonts w:hint="eastAsia" w:ascii="Times New Roman" w:hAnsi="Times New Roman" w:eastAsia="楷体" w:cs="Times New Roman"/>
                        <w:b/>
                        <w:color w:val="833C0B"/>
                        <w:sz w:val="21"/>
                        <w:lang w:bidi="ar"/>
                      </w:rPr>
                      <w:fldChar w:fldCharType="begin"/>
                    </w:r>
                    <w:r>
                      <w:rPr>
                        <w:rFonts w:hint="eastAsia" w:ascii="Times New Roman" w:hAnsi="Times New Roman" w:eastAsia="楷体" w:cs="Times New Roman"/>
                        <w:b/>
                        <w:color w:val="833C0B"/>
                        <w:sz w:val="21"/>
                        <w:lang w:bidi="ar"/>
                      </w:rPr>
                      <w:instrText xml:space="preserve"> PAGE  \* MERGEFORMAT </w:instrText>
                    </w:r>
                    <w:r>
                      <w:rPr>
                        <w:rFonts w:hint="eastAsia" w:ascii="Times New Roman" w:hAnsi="Times New Roman" w:eastAsia="楷体" w:cs="Times New Roman"/>
                        <w:b/>
                        <w:color w:val="833C0B"/>
                        <w:sz w:val="21"/>
                        <w:lang w:bidi="ar"/>
                      </w:rPr>
                      <w:fldChar w:fldCharType="separate"/>
                    </w:r>
                    <w:r>
                      <w:rPr>
                        <w:rFonts w:ascii="Times New Roman" w:hAnsi="Times New Roman" w:eastAsia="楷体" w:cs="Times New Roman"/>
                        <w:b/>
                        <w:color w:val="833C0B"/>
                        <w:sz w:val="21"/>
                        <w:lang w:bidi="ar"/>
                      </w:rPr>
                      <w:t>1</w:t>
                    </w:r>
                    <w:r>
                      <w:rPr>
                        <w:rFonts w:hint="eastAsia" w:ascii="Times New Roman" w:hAnsi="Times New Roman" w:eastAsia="楷体" w:cs="Times New Roman"/>
                        <w:b/>
                        <w:color w:val="833C0B"/>
                        <w:sz w:val="21"/>
                        <w:lang w:bidi="ar"/>
                      </w:rPr>
                      <w:fldChar w:fldCharType="end"/>
                    </w:r>
                  </w:p>
                </w:txbxContent>
              </v:textbox>
            </v:shape>
          </w:pict>
        </mc:Fallback>
      </mc:AlternateContent>
    </w:r>
    <w:r>
      <w:rPr>
        <w:rFonts w:hint="eastAsia" w:ascii="楷体" w:hAnsi="楷体" w:eastAsia="楷体" w:cs="Times New Roman"/>
        <w:b/>
        <w:color w:val="833C0B"/>
        <w:sz w:val="21"/>
        <w:lang w:bidi="ar"/>
      </w:rPr>
      <w:t>广州期货提醒各位投资者，期市有风险，入市需谨慎！请阅读文末免责声明。</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pPr>
                      <w:pStyle w:val="55"/>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jc w:val="right"/>
    </w:pPr>
    <w:r>
      <w:drawing>
        <wp:anchor distT="0" distB="0" distL="114300" distR="114300" simplePos="0" relativeHeight="251659264" behindDoc="0" locked="0" layoutInCell="1" allowOverlap="1">
          <wp:simplePos x="0" y="0"/>
          <wp:positionH relativeFrom="column">
            <wp:posOffset>0</wp:posOffset>
          </wp:positionH>
          <wp:positionV relativeFrom="paragraph">
            <wp:posOffset>-164465</wp:posOffset>
          </wp:positionV>
          <wp:extent cx="1774190" cy="469265"/>
          <wp:effectExtent l="0" t="0" r="16510" b="698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p>
  <w:p>
    <w:pPr>
      <w:pStyle w:val="57"/>
      <w:pBdr>
        <w:bottom w:val="single" w:color="auto" w:sz="4" w:space="1"/>
      </w:pBdr>
      <w:jc w:val="right"/>
      <w:rPr>
        <w:b/>
        <w:bCs/>
      </w:rPr>
    </w:pPr>
    <w:r>
      <w:ptab w:relativeTo="margin" w:alignment="center" w:leader="none"/>
    </w:r>
    <w:r>
      <w:rPr>
        <w:rFonts w:hint="eastAsia" w:ascii="Times New Roman" w:hAnsi="Times New Roman" w:eastAsia="楷体"/>
        <w:b/>
        <w:bCs/>
        <w:color w:val="833C0B"/>
        <w:sz w:val="21"/>
      </w:rPr>
      <w:t>早间直通车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jc w:val="right"/>
      <w:rPr>
        <w:rFonts w:ascii="Times New Roman" w:hAnsi="Times New Roman" w:eastAsia="楷体"/>
        <w:b/>
        <w:bCs/>
        <w:color w:val="833C0B"/>
        <w:sz w:val="21"/>
      </w:rPr>
    </w:pPr>
    <w:r>
      <w:ptab w:relativeTo="margin" w:alignment="center" w:leader="none"/>
    </w:r>
    <w:r>
      <w:drawing>
        <wp:anchor distT="0" distB="0" distL="114300" distR="114300" simplePos="0" relativeHeight="251661312" behindDoc="0" locked="0" layoutInCell="1" allowOverlap="1">
          <wp:simplePos x="0" y="0"/>
          <wp:positionH relativeFrom="column">
            <wp:posOffset>0</wp:posOffset>
          </wp:positionH>
          <wp:positionV relativeFrom="paragraph">
            <wp:posOffset>-180975</wp:posOffset>
          </wp:positionV>
          <wp:extent cx="1774190" cy="469265"/>
          <wp:effectExtent l="0" t="0" r="16510" b="6985"/>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r>
      <w:rPr>
        <w:rFonts w:hint="eastAsia" w:ascii="Times New Roman" w:hAnsi="Times New Roman" w:eastAsia="楷体"/>
        <w:b/>
        <w:bCs/>
        <w:color w:val="833C0B"/>
        <w:sz w:val="21"/>
      </w:rPr>
      <w:t>早间直通车</w:t>
    </w:r>
  </w:p>
  <w:p>
    <w:pPr>
      <w:pStyle w:val="57"/>
      <w:pBdr>
        <w:bottom w:val="single" w:color="auto" w:sz="4" w:space="1"/>
      </w:pBdr>
      <w:jc w:val="right"/>
    </w:pPr>
    <w:r>
      <w:rPr>
        <w:rFonts w:ascii="Times New Roman" w:hAnsi="Times New Roman" w:eastAsia="楷体"/>
        <w:b/>
        <w:bCs/>
        <w:color w:val="833C0B"/>
        <w:sz w:val="21"/>
      </w:rPr>
      <w:fldChar w:fldCharType="begin"/>
    </w:r>
    <w:r>
      <w:rPr>
        <w:rFonts w:ascii="Times New Roman" w:hAnsi="Times New Roman" w:eastAsia="楷体"/>
        <w:b/>
        <w:bCs/>
        <w:color w:val="833C0B"/>
        <w:sz w:val="21"/>
      </w:rPr>
      <w:instrText xml:space="preserve"> </w:instrText>
    </w:r>
    <w:r>
      <w:rPr>
        <w:rFonts w:hint="eastAsia" w:ascii="Times New Roman" w:hAnsi="Times New Roman" w:eastAsia="楷体"/>
        <w:b/>
        <w:bCs/>
        <w:color w:val="833C0B"/>
        <w:sz w:val="21"/>
      </w:rPr>
      <w:instrText xml:space="preserve">TIME \@ "yyyy年M月d日星期W"</w:instrText>
    </w:r>
    <w:r>
      <w:rPr>
        <w:rFonts w:ascii="Times New Roman" w:hAnsi="Times New Roman" w:eastAsia="楷体"/>
        <w:b/>
        <w:bCs/>
        <w:color w:val="833C0B"/>
        <w:sz w:val="21"/>
      </w:rPr>
      <w:instrText xml:space="preserve"> </w:instrText>
    </w:r>
    <w:r>
      <w:rPr>
        <w:rFonts w:ascii="Times New Roman" w:hAnsi="Times New Roman" w:eastAsia="楷体"/>
        <w:b/>
        <w:bCs/>
        <w:color w:val="833C0B"/>
        <w:sz w:val="21"/>
      </w:rPr>
      <w:fldChar w:fldCharType="separate"/>
    </w:r>
    <w:r>
      <w:rPr>
        <w:rFonts w:hint="eastAsia" w:ascii="Times New Roman" w:hAnsi="Times New Roman" w:eastAsia="楷体"/>
        <w:b/>
        <w:bCs/>
        <w:color w:val="833C0B"/>
        <w:sz w:val="21"/>
      </w:rPr>
      <w:t>2024年3月14日星期四</w:t>
    </w:r>
    <w:r>
      <w:rPr>
        <w:rFonts w:ascii="Times New Roman" w:hAnsi="Times New Roman" w:eastAsia="楷体"/>
        <w:b/>
        <w:bCs/>
        <w:color w:val="833C0B"/>
        <w:sz w:val="21"/>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65"/>
      <w:lvlText w:val="%1."/>
      <w:lvlJc w:val="left"/>
      <w:pPr>
        <w:tabs>
          <w:tab w:val="left" w:pos="2040"/>
        </w:tabs>
        <w:ind w:left="2040" w:leftChars="800" w:hanging="360" w:hangingChars="200"/>
      </w:pPr>
    </w:lvl>
  </w:abstractNum>
  <w:abstractNum w:abstractNumId="1">
    <w:nsid w:val="FFFFFF7D"/>
    <w:multiLevelType w:val="singleLevel"/>
    <w:tmpl w:val="FFFFFF7D"/>
    <w:lvl w:ilvl="0" w:tentative="0">
      <w:start w:val="1"/>
      <w:numFmt w:val="decimal"/>
      <w:pStyle w:val="47"/>
      <w:lvlText w:val="%1."/>
      <w:lvlJc w:val="left"/>
      <w:pPr>
        <w:tabs>
          <w:tab w:val="left" w:pos="1620"/>
        </w:tabs>
        <w:ind w:left="1620" w:leftChars="600" w:hanging="360" w:hangingChars="200"/>
      </w:pPr>
    </w:lvl>
  </w:abstractNum>
  <w:abstractNum w:abstractNumId="2">
    <w:nsid w:val="FFFFFF7E"/>
    <w:multiLevelType w:val="singleLevel"/>
    <w:tmpl w:val="FFFFFF7E"/>
    <w:lvl w:ilvl="0" w:tentative="0">
      <w:start w:val="1"/>
      <w:numFmt w:val="decimal"/>
      <w:pStyle w:val="36"/>
      <w:lvlText w:val="%1."/>
      <w:lvlJc w:val="left"/>
      <w:pPr>
        <w:tabs>
          <w:tab w:val="left" w:pos="1200"/>
        </w:tabs>
        <w:ind w:left="1200" w:leftChars="400" w:hanging="360" w:hangingChars="200"/>
      </w:pPr>
    </w:lvl>
  </w:abstractNum>
  <w:abstractNum w:abstractNumId="3">
    <w:nsid w:val="FFFFFF7F"/>
    <w:multiLevelType w:val="singleLevel"/>
    <w:tmpl w:val="FFFFFF7F"/>
    <w:lvl w:ilvl="0" w:tentative="0">
      <w:start w:val="1"/>
      <w:numFmt w:val="decimal"/>
      <w:pStyle w:val="14"/>
      <w:lvlText w:val="%1."/>
      <w:lvlJc w:val="left"/>
      <w:pPr>
        <w:tabs>
          <w:tab w:val="left" w:pos="780"/>
        </w:tabs>
        <w:ind w:left="780" w:leftChars="200" w:hanging="360" w:hangingChars="200"/>
      </w:pPr>
    </w:lvl>
  </w:abstractNum>
  <w:abstractNum w:abstractNumId="4">
    <w:nsid w:val="FFFFFF80"/>
    <w:multiLevelType w:val="singleLevel"/>
    <w:tmpl w:val="FFFFFF80"/>
    <w:lvl w:ilvl="0" w:tentative="0">
      <w:start w:val="1"/>
      <w:numFmt w:val="bullet"/>
      <w:pStyle w:val="46"/>
      <w:lvlText w:val=""/>
      <w:lvlJc w:val="left"/>
      <w:pPr>
        <w:tabs>
          <w:tab w:val="left" w:pos="2040"/>
        </w:tabs>
        <w:ind w:left="2040" w:leftChars="800" w:hanging="360" w:hangingChars="200"/>
      </w:pPr>
      <w:rPr>
        <w:rFonts w:hint="default" w:ascii="Wingdings" w:hAnsi="Wingdings"/>
      </w:rPr>
    </w:lvl>
  </w:abstractNum>
  <w:abstractNum w:abstractNumId="5">
    <w:nsid w:val="FFFFFF81"/>
    <w:multiLevelType w:val="singleLevel"/>
    <w:tmpl w:val="FFFFFF81"/>
    <w:lvl w:ilvl="0" w:tentative="0">
      <w:start w:val="1"/>
      <w:numFmt w:val="bullet"/>
      <w:pStyle w:val="17"/>
      <w:lvlText w:val=""/>
      <w:lvlJc w:val="left"/>
      <w:pPr>
        <w:tabs>
          <w:tab w:val="left" w:pos="1620"/>
        </w:tabs>
        <w:ind w:left="1620" w:leftChars="600" w:hanging="360" w:hangingChars="200"/>
      </w:pPr>
      <w:rPr>
        <w:rFonts w:hint="default" w:ascii="Wingdings" w:hAnsi="Wingdings"/>
      </w:rPr>
    </w:lvl>
  </w:abstractNum>
  <w:abstractNum w:abstractNumId="6">
    <w:nsid w:val="FFFFFF82"/>
    <w:multiLevelType w:val="singleLevel"/>
    <w:tmpl w:val="FFFFFF82"/>
    <w:lvl w:ilvl="0" w:tentative="0">
      <w:start w:val="1"/>
      <w:numFmt w:val="bullet"/>
      <w:pStyle w:val="33"/>
      <w:lvlText w:val=""/>
      <w:lvlJc w:val="left"/>
      <w:pPr>
        <w:tabs>
          <w:tab w:val="left" w:pos="1200"/>
        </w:tabs>
        <w:ind w:left="1200" w:leftChars="400" w:hanging="360" w:hangingChars="200"/>
      </w:pPr>
      <w:rPr>
        <w:rFonts w:hint="default" w:ascii="Wingdings" w:hAnsi="Wingdings"/>
      </w:rPr>
    </w:lvl>
  </w:abstractNum>
  <w:abstractNum w:abstractNumId="7">
    <w:nsid w:val="FFFFFF83"/>
    <w:multiLevelType w:val="singleLevel"/>
    <w:tmpl w:val="FFFFFF83"/>
    <w:lvl w:ilvl="0" w:tentative="0">
      <w:start w:val="1"/>
      <w:numFmt w:val="bullet"/>
      <w:pStyle w:val="40"/>
      <w:lvlText w:val=""/>
      <w:lvlJc w:val="left"/>
      <w:pPr>
        <w:tabs>
          <w:tab w:val="left" w:pos="780"/>
        </w:tabs>
        <w:ind w:left="780" w:leftChars="200" w:hanging="360" w:hangingChars="200"/>
      </w:pPr>
      <w:rPr>
        <w:rFonts w:hint="default" w:ascii="Wingdings" w:hAnsi="Wingdings"/>
      </w:rPr>
    </w:lvl>
  </w:abstractNum>
  <w:abstractNum w:abstractNumId="8">
    <w:nsid w:val="FFFFFF88"/>
    <w:multiLevelType w:val="singleLevel"/>
    <w:tmpl w:val="FFFFFF88"/>
    <w:lvl w:ilvl="0" w:tentative="0">
      <w:start w:val="1"/>
      <w:numFmt w:val="decimal"/>
      <w:pStyle w:val="20"/>
      <w:lvlText w:val="%1."/>
      <w:lvlJc w:val="left"/>
      <w:pPr>
        <w:tabs>
          <w:tab w:val="left" w:pos="360"/>
        </w:tabs>
        <w:ind w:left="360" w:hanging="360" w:hangingChars="200"/>
      </w:pPr>
    </w:lvl>
  </w:abstractNum>
  <w:abstractNum w:abstractNumId="9">
    <w:nsid w:val="FFFFFF89"/>
    <w:multiLevelType w:val="singleLevel"/>
    <w:tmpl w:val="FFFFFF89"/>
    <w:lvl w:ilvl="0" w:tentative="0">
      <w:start w:val="1"/>
      <w:numFmt w:val="bullet"/>
      <w:pStyle w:val="24"/>
      <w:lvlText w:val=""/>
      <w:lvlJc w:val="left"/>
      <w:pPr>
        <w:tabs>
          <w:tab w:val="left" w:pos="360"/>
        </w:tabs>
        <w:ind w:left="360" w:hanging="360" w:hangingChars="200"/>
      </w:pPr>
      <w:rPr>
        <w:rFonts w:hint="default" w:ascii="Wingdings" w:hAnsi="Wingdings"/>
      </w:rPr>
    </w:lvl>
  </w:abstractNum>
  <w:num w:numId="1">
    <w:abstractNumId w:val="3"/>
  </w:num>
  <w:num w:numId="2">
    <w:abstractNumId w:val="5"/>
  </w:num>
  <w:num w:numId="3">
    <w:abstractNumId w:val="8"/>
  </w:num>
  <w:num w:numId="4">
    <w:abstractNumId w:val="9"/>
  </w:num>
  <w:num w:numId="5">
    <w:abstractNumId w:val="6"/>
  </w:num>
  <w:num w:numId="6">
    <w:abstractNumId w:val="2"/>
  </w:num>
  <w:num w:numId="7">
    <w:abstractNumId w:val="7"/>
  </w:num>
  <w:num w:numId="8">
    <w:abstractNumId w:val="4"/>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ljYzUzMWQ4OWI0YzBkYjYzMDRhZTY5ZjZkYmFmYTgifQ=="/>
  </w:docVars>
  <w:rsids>
    <w:rsidRoot w:val="3B3306F0"/>
    <w:rsid w:val="00003BBB"/>
    <w:rsid w:val="0000534E"/>
    <w:rsid w:val="000058D8"/>
    <w:rsid w:val="00006269"/>
    <w:rsid w:val="00010BF8"/>
    <w:rsid w:val="00012A9A"/>
    <w:rsid w:val="000151C6"/>
    <w:rsid w:val="00020E82"/>
    <w:rsid w:val="00024902"/>
    <w:rsid w:val="000249A6"/>
    <w:rsid w:val="00024C21"/>
    <w:rsid w:val="00032A7A"/>
    <w:rsid w:val="00035EB2"/>
    <w:rsid w:val="000417D7"/>
    <w:rsid w:val="00050B6C"/>
    <w:rsid w:val="0005286B"/>
    <w:rsid w:val="0005726F"/>
    <w:rsid w:val="00057E99"/>
    <w:rsid w:val="00060F08"/>
    <w:rsid w:val="00072E13"/>
    <w:rsid w:val="00072EAA"/>
    <w:rsid w:val="00073CEF"/>
    <w:rsid w:val="00076420"/>
    <w:rsid w:val="000820C6"/>
    <w:rsid w:val="0008229A"/>
    <w:rsid w:val="00093E40"/>
    <w:rsid w:val="00094BAE"/>
    <w:rsid w:val="00096258"/>
    <w:rsid w:val="000A390A"/>
    <w:rsid w:val="000A413E"/>
    <w:rsid w:val="000A476D"/>
    <w:rsid w:val="000B0648"/>
    <w:rsid w:val="000B4E70"/>
    <w:rsid w:val="000B56D3"/>
    <w:rsid w:val="000C102A"/>
    <w:rsid w:val="000C3C5C"/>
    <w:rsid w:val="000C475E"/>
    <w:rsid w:val="000C4F17"/>
    <w:rsid w:val="000D36DC"/>
    <w:rsid w:val="000D42E2"/>
    <w:rsid w:val="000D7CF0"/>
    <w:rsid w:val="000E03FC"/>
    <w:rsid w:val="000E0968"/>
    <w:rsid w:val="000E0C15"/>
    <w:rsid w:val="000E4EEB"/>
    <w:rsid w:val="00115EEA"/>
    <w:rsid w:val="00117470"/>
    <w:rsid w:val="00120B1F"/>
    <w:rsid w:val="00121DBA"/>
    <w:rsid w:val="0012609D"/>
    <w:rsid w:val="001275B7"/>
    <w:rsid w:val="00127803"/>
    <w:rsid w:val="00127FF1"/>
    <w:rsid w:val="00147668"/>
    <w:rsid w:val="00147B03"/>
    <w:rsid w:val="0015047B"/>
    <w:rsid w:val="00152664"/>
    <w:rsid w:val="001529BB"/>
    <w:rsid w:val="00155A0F"/>
    <w:rsid w:val="00156FEB"/>
    <w:rsid w:val="001579F3"/>
    <w:rsid w:val="00163783"/>
    <w:rsid w:val="00163984"/>
    <w:rsid w:val="00170E7B"/>
    <w:rsid w:val="00170EDF"/>
    <w:rsid w:val="001801C4"/>
    <w:rsid w:val="0018476D"/>
    <w:rsid w:val="0018678E"/>
    <w:rsid w:val="001942CB"/>
    <w:rsid w:val="001945E9"/>
    <w:rsid w:val="001A3E49"/>
    <w:rsid w:val="001A44F9"/>
    <w:rsid w:val="001B0610"/>
    <w:rsid w:val="001B179D"/>
    <w:rsid w:val="001B1904"/>
    <w:rsid w:val="001B25C9"/>
    <w:rsid w:val="001B2D4C"/>
    <w:rsid w:val="001B6043"/>
    <w:rsid w:val="001B6394"/>
    <w:rsid w:val="001B6B7D"/>
    <w:rsid w:val="001C267B"/>
    <w:rsid w:val="001C2E87"/>
    <w:rsid w:val="001C77D0"/>
    <w:rsid w:val="001D1F0A"/>
    <w:rsid w:val="001D40EA"/>
    <w:rsid w:val="001D4474"/>
    <w:rsid w:val="001D5419"/>
    <w:rsid w:val="001D6E4C"/>
    <w:rsid w:val="001D7D0A"/>
    <w:rsid w:val="001E1A3C"/>
    <w:rsid w:val="001E3813"/>
    <w:rsid w:val="001F5070"/>
    <w:rsid w:val="001F5438"/>
    <w:rsid w:val="001F7531"/>
    <w:rsid w:val="001F79C6"/>
    <w:rsid w:val="002006C2"/>
    <w:rsid w:val="00201944"/>
    <w:rsid w:val="00206537"/>
    <w:rsid w:val="002074A1"/>
    <w:rsid w:val="00216C1E"/>
    <w:rsid w:val="00226406"/>
    <w:rsid w:val="0023093E"/>
    <w:rsid w:val="00230DB7"/>
    <w:rsid w:val="00235529"/>
    <w:rsid w:val="00244CA3"/>
    <w:rsid w:val="0025590B"/>
    <w:rsid w:val="00264E6F"/>
    <w:rsid w:val="00267FFD"/>
    <w:rsid w:val="0027652F"/>
    <w:rsid w:val="00282262"/>
    <w:rsid w:val="00284165"/>
    <w:rsid w:val="00285297"/>
    <w:rsid w:val="00291461"/>
    <w:rsid w:val="00292AE8"/>
    <w:rsid w:val="002951EB"/>
    <w:rsid w:val="00296325"/>
    <w:rsid w:val="00297A1B"/>
    <w:rsid w:val="002A0670"/>
    <w:rsid w:val="002A6C89"/>
    <w:rsid w:val="002B0F87"/>
    <w:rsid w:val="002B2257"/>
    <w:rsid w:val="002B294F"/>
    <w:rsid w:val="002B2B4E"/>
    <w:rsid w:val="002B32AE"/>
    <w:rsid w:val="002B32FF"/>
    <w:rsid w:val="002C0C59"/>
    <w:rsid w:val="002C73FE"/>
    <w:rsid w:val="002D7FC5"/>
    <w:rsid w:val="002F075C"/>
    <w:rsid w:val="002F545E"/>
    <w:rsid w:val="002F6AD1"/>
    <w:rsid w:val="002F7810"/>
    <w:rsid w:val="0031065A"/>
    <w:rsid w:val="00320AB1"/>
    <w:rsid w:val="00321629"/>
    <w:rsid w:val="003230A0"/>
    <w:rsid w:val="00323550"/>
    <w:rsid w:val="003238A5"/>
    <w:rsid w:val="00330C71"/>
    <w:rsid w:val="0033167B"/>
    <w:rsid w:val="00332216"/>
    <w:rsid w:val="00332F22"/>
    <w:rsid w:val="0033644D"/>
    <w:rsid w:val="003416C2"/>
    <w:rsid w:val="00341727"/>
    <w:rsid w:val="00344AED"/>
    <w:rsid w:val="003471F4"/>
    <w:rsid w:val="003523FF"/>
    <w:rsid w:val="00357545"/>
    <w:rsid w:val="00370D25"/>
    <w:rsid w:val="00371ED6"/>
    <w:rsid w:val="00374836"/>
    <w:rsid w:val="00375F0B"/>
    <w:rsid w:val="00376AF1"/>
    <w:rsid w:val="00380E38"/>
    <w:rsid w:val="00381978"/>
    <w:rsid w:val="00383B5C"/>
    <w:rsid w:val="0038626D"/>
    <w:rsid w:val="0038677D"/>
    <w:rsid w:val="003953FD"/>
    <w:rsid w:val="003A1F3C"/>
    <w:rsid w:val="003A3DB4"/>
    <w:rsid w:val="003A5DDB"/>
    <w:rsid w:val="003C32DB"/>
    <w:rsid w:val="003C4855"/>
    <w:rsid w:val="003C54F5"/>
    <w:rsid w:val="003C5F91"/>
    <w:rsid w:val="003C70A3"/>
    <w:rsid w:val="003D3A9E"/>
    <w:rsid w:val="003F2424"/>
    <w:rsid w:val="003F43FB"/>
    <w:rsid w:val="003F56A5"/>
    <w:rsid w:val="00404AFE"/>
    <w:rsid w:val="004123EF"/>
    <w:rsid w:val="0041664D"/>
    <w:rsid w:val="004177A8"/>
    <w:rsid w:val="004201F5"/>
    <w:rsid w:val="004230AC"/>
    <w:rsid w:val="00426AB5"/>
    <w:rsid w:val="00430222"/>
    <w:rsid w:val="00433C64"/>
    <w:rsid w:val="00440FBE"/>
    <w:rsid w:val="004427D1"/>
    <w:rsid w:val="00443773"/>
    <w:rsid w:val="00452F14"/>
    <w:rsid w:val="004567BD"/>
    <w:rsid w:val="00461147"/>
    <w:rsid w:val="004648E2"/>
    <w:rsid w:val="0047103A"/>
    <w:rsid w:val="00481046"/>
    <w:rsid w:val="00484C53"/>
    <w:rsid w:val="00485A3F"/>
    <w:rsid w:val="00486646"/>
    <w:rsid w:val="00487F77"/>
    <w:rsid w:val="00490056"/>
    <w:rsid w:val="00491DD7"/>
    <w:rsid w:val="00495F18"/>
    <w:rsid w:val="004977A9"/>
    <w:rsid w:val="004A1926"/>
    <w:rsid w:val="004A382D"/>
    <w:rsid w:val="004A3F85"/>
    <w:rsid w:val="004A65B5"/>
    <w:rsid w:val="004A78BA"/>
    <w:rsid w:val="004B4BB6"/>
    <w:rsid w:val="004B4D4D"/>
    <w:rsid w:val="004C11A7"/>
    <w:rsid w:val="004C4541"/>
    <w:rsid w:val="004C4CA5"/>
    <w:rsid w:val="004C5F3F"/>
    <w:rsid w:val="004D0484"/>
    <w:rsid w:val="004D1AE5"/>
    <w:rsid w:val="004D6F74"/>
    <w:rsid w:val="004E269E"/>
    <w:rsid w:val="004E2959"/>
    <w:rsid w:val="004E3A10"/>
    <w:rsid w:val="004E58A5"/>
    <w:rsid w:val="004E6093"/>
    <w:rsid w:val="004E6F41"/>
    <w:rsid w:val="004F2492"/>
    <w:rsid w:val="00503551"/>
    <w:rsid w:val="0051222D"/>
    <w:rsid w:val="005145ED"/>
    <w:rsid w:val="00521683"/>
    <w:rsid w:val="00523E95"/>
    <w:rsid w:val="005245A4"/>
    <w:rsid w:val="00526949"/>
    <w:rsid w:val="00533D1C"/>
    <w:rsid w:val="00535DC9"/>
    <w:rsid w:val="005376B7"/>
    <w:rsid w:val="00540298"/>
    <w:rsid w:val="00541F3F"/>
    <w:rsid w:val="0054268F"/>
    <w:rsid w:val="005460A3"/>
    <w:rsid w:val="00547DD7"/>
    <w:rsid w:val="00550252"/>
    <w:rsid w:val="00551A8D"/>
    <w:rsid w:val="005523A5"/>
    <w:rsid w:val="00553DEC"/>
    <w:rsid w:val="00554002"/>
    <w:rsid w:val="00557C07"/>
    <w:rsid w:val="00567E42"/>
    <w:rsid w:val="00572E35"/>
    <w:rsid w:val="00576234"/>
    <w:rsid w:val="005818A8"/>
    <w:rsid w:val="005842DF"/>
    <w:rsid w:val="0058734B"/>
    <w:rsid w:val="005903F3"/>
    <w:rsid w:val="00591B89"/>
    <w:rsid w:val="005926B7"/>
    <w:rsid w:val="00593B03"/>
    <w:rsid w:val="00593F40"/>
    <w:rsid w:val="0059697A"/>
    <w:rsid w:val="005A5EEB"/>
    <w:rsid w:val="005A79A4"/>
    <w:rsid w:val="005B5BDF"/>
    <w:rsid w:val="005B790A"/>
    <w:rsid w:val="005C05F7"/>
    <w:rsid w:val="005C05FA"/>
    <w:rsid w:val="005C49BA"/>
    <w:rsid w:val="005C5B1D"/>
    <w:rsid w:val="005D0D16"/>
    <w:rsid w:val="005E1CE0"/>
    <w:rsid w:val="005E6164"/>
    <w:rsid w:val="005F28F8"/>
    <w:rsid w:val="005F2CE6"/>
    <w:rsid w:val="005F45A8"/>
    <w:rsid w:val="005F5D8E"/>
    <w:rsid w:val="00605CB4"/>
    <w:rsid w:val="00606E2B"/>
    <w:rsid w:val="00610C41"/>
    <w:rsid w:val="00612D79"/>
    <w:rsid w:val="0061390B"/>
    <w:rsid w:val="00615F78"/>
    <w:rsid w:val="00620BEB"/>
    <w:rsid w:val="00622C65"/>
    <w:rsid w:val="00632593"/>
    <w:rsid w:val="006353D1"/>
    <w:rsid w:val="00637F19"/>
    <w:rsid w:val="00641752"/>
    <w:rsid w:val="00645DF5"/>
    <w:rsid w:val="00645EA4"/>
    <w:rsid w:val="00650F05"/>
    <w:rsid w:val="0065454E"/>
    <w:rsid w:val="00657B01"/>
    <w:rsid w:val="00661BB3"/>
    <w:rsid w:val="00666DE4"/>
    <w:rsid w:val="006755C1"/>
    <w:rsid w:val="006811C5"/>
    <w:rsid w:val="00686B2A"/>
    <w:rsid w:val="006911F3"/>
    <w:rsid w:val="006A135D"/>
    <w:rsid w:val="006A2D10"/>
    <w:rsid w:val="006A5214"/>
    <w:rsid w:val="006A6067"/>
    <w:rsid w:val="006A7A79"/>
    <w:rsid w:val="006B4A5D"/>
    <w:rsid w:val="006C38A8"/>
    <w:rsid w:val="006D21ED"/>
    <w:rsid w:val="006D66AE"/>
    <w:rsid w:val="006D725E"/>
    <w:rsid w:val="006E3745"/>
    <w:rsid w:val="006F220A"/>
    <w:rsid w:val="006F6553"/>
    <w:rsid w:val="007029E1"/>
    <w:rsid w:val="00702D65"/>
    <w:rsid w:val="00710028"/>
    <w:rsid w:val="007103A5"/>
    <w:rsid w:val="00710D22"/>
    <w:rsid w:val="007111CD"/>
    <w:rsid w:val="00717EF8"/>
    <w:rsid w:val="0072164F"/>
    <w:rsid w:val="007253E7"/>
    <w:rsid w:val="0072736C"/>
    <w:rsid w:val="007315D8"/>
    <w:rsid w:val="00740BD1"/>
    <w:rsid w:val="00743CFD"/>
    <w:rsid w:val="007664C1"/>
    <w:rsid w:val="007700C2"/>
    <w:rsid w:val="00772382"/>
    <w:rsid w:val="00782EFA"/>
    <w:rsid w:val="00785519"/>
    <w:rsid w:val="007866A5"/>
    <w:rsid w:val="0079299D"/>
    <w:rsid w:val="00792D31"/>
    <w:rsid w:val="00794D36"/>
    <w:rsid w:val="007952E9"/>
    <w:rsid w:val="00795500"/>
    <w:rsid w:val="0079639C"/>
    <w:rsid w:val="00796CB2"/>
    <w:rsid w:val="007A410D"/>
    <w:rsid w:val="007A66FE"/>
    <w:rsid w:val="007A713B"/>
    <w:rsid w:val="007B3290"/>
    <w:rsid w:val="007B42D0"/>
    <w:rsid w:val="007B4FCE"/>
    <w:rsid w:val="007B681E"/>
    <w:rsid w:val="007C1DB9"/>
    <w:rsid w:val="007C2FD2"/>
    <w:rsid w:val="007C62A6"/>
    <w:rsid w:val="007C6F18"/>
    <w:rsid w:val="007C7B84"/>
    <w:rsid w:val="007D2916"/>
    <w:rsid w:val="007D29EC"/>
    <w:rsid w:val="007D4BBD"/>
    <w:rsid w:val="007D67CC"/>
    <w:rsid w:val="007E1660"/>
    <w:rsid w:val="007E1FC2"/>
    <w:rsid w:val="007F09BE"/>
    <w:rsid w:val="007F1327"/>
    <w:rsid w:val="007F140C"/>
    <w:rsid w:val="007F186E"/>
    <w:rsid w:val="007F197B"/>
    <w:rsid w:val="0080339F"/>
    <w:rsid w:val="0080612D"/>
    <w:rsid w:val="00806354"/>
    <w:rsid w:val="0080692E"/>
    <w:rsid w:val="00806CD5"/>
    <w:rsid w:val="00806F4A"/>
    <w:rsid w:val="0080753A"/>
    <w:rsid w:val="008111C8"/>
    <w:rsid w:val="008149F4"/>
    <w:rsid w:val="00814F10"/>
    <w:rsid w:val="00815011"/>
    <w:rsid w:val="00815817"/>
    <w:rsid w:val="00815EF6"/>
    <w:rsid w:val="00816F85"/>
    <w:rsid w:val="00820D28"/>
    <w:rsid w:val="00822591"/>
    <w:rsid w:val="00827E8A"/>
    <w:rsid w:val="008316CB"/>
    <w:rsid w:val="0083288D"/>
    <w:rsid w:val="0083605E"/>
    <w:rsid w:val="00840F4E"/>
    <w:rsid w:val="008463FD"/>
    <w:rsid w:val="00853880"/>
    <w:rsid w:val="00856132"/>
    <w:rsid w:val="00860311"/>
    <w:rsid w:val="00861497"/>
    <w:rsid w:val="008649BB"/>
    <w:rsid w:val="008655EA"/>
    <w:rsid w:val="00867CA5"/>
    <w:rsid w:val="00873ECE"/>
    <w:rsid w:val="008740D4"/>
    <w:rsid w:val="00874708"/>
    <w:rsid w:val="00875F92"/>
    <w:rsid w:val="00876CE2"/>
    <w:rsid w:val="0087785E"/>
    <w:rsid w:val="00892203"/>
    <w:rsid w:val="0089393F"/>
    <w:rsid w:val="008A0893"/>
    <w:rsid w:val="008A11C6"/>
    <w:rsid w:val="008A1D22"/>
    <w:rsid w:val="008A4884"/>
    <w:rsid w:val="008B13D2"/>
    <w:rsid w:val="008B3268"/>
    <w:rsid w:val="008B361D"/>
    <w:rsid w:val="008C1554"/>
    <w:rsid w:val="008C3F42"/>
    <w:rsid w:val="008C53CE"/>
    <w:rsid w:val="008E2B15"/>
    <w:rsid w:val="008E33F3"/>
    <w:rsid w:val="008E3B84"/>
    <w:rsid w:val="008E54BD"/>
    <w:rsid w:val="008F1360"/>
    <w:rsid w:val="008F229B"/>
    <w:rsid w:val="008F2A6E"/>
    <w:rsid w:val="00903C18"/>
    <w:rsid w:val="00906E0C"/>
    <w:rsid w:val="00907943"/>
    <w:rsid w:val="00912194"/>
    <w:rsid w:val="009123AA"/>
    <w:rsid w:val="009127EC"/>
    <w:rsid w:val="00916E97"/>
    <w:rsid w:val="00920372"/>
    <w:rsid w:val="0092164B"/>
    <w:rsid w:val="009223B5"/>
    <w:rsid w:val="0092326A"/>
    <w:rsid w:val="009260D3"/>
    <w:rsid w:val="009316EC"/>
    <w:rsid w:val="009317CD"/>
    <w:rsid w:val="00934728"/>
    <w:rsid w:val="009644D9"/>
    <w:rsid w:val="00964539"/>
    <w:rsid w:val="0097131C"/>
    <w:rsid w:val="00972485"/>
    <w:rsid w:val="00973185"/>
    <w:rsid w:val="00982F5B"/>
    <w:rsid w:val="009870E4"/>
    <w:rsid w:val="00992BCC"/>
    <w:rsid w:val="009A12FA"/>
    <w:rsid w:val="009A564D"/>
    <w:rsid w:val="009B0D7B"/>
    <w:rsid w:val="009B3615"/>
    <w:rsid w:val="009B3801"/>
    <w:rsid w:val="009B534D"/>
    <w:rsid w:val="009B591A"/>
    <w:rsid w:val="009C30FE"/>
    <w:rsid w:val="009C3E56"/>
    <w:rsid w:val="009C483C"/>
    <w:rsid w:val="009D2477"/>
    <w:rsid w:val="009D2D8B"/>
    <w:rsid w:val="009D4A74"/>
    <w:rsid w:val="009D5253"/>
    <w:rsid w:val="009D5D79"/>
    <w:rsid w:val="009D64FE"/>
    <w:rsid w:val="009D75BB"/>
    <w:rsid w:val="009E0994"/>
    <w:rsid w:val="009E25E0"/>
    <w:rsid w:val="009E2C77"/>
    <w:rsid w:val="009E4452"/>
    <w:rsid w:val="009E5993"/>
    <w:rsid w:val="009E6D3E"/>
    <w:rsid w:val="009E7578"/>
    <w:rsid w:val="009E75B7"/>
    <w:rsid w:val="009F2C6B"/>
    <w:rsid w:val="009F5C7B"/>
    <w:rsid w:val="00A031CE"/>
    <w:rsid w:val="00A04421"/>
    <w:rsid w:val="00A11A0D"/>
    <w:rsid w:val="00A22080"/>
    <w:rsid w:val="00A223D3"/>
    <w:rsid w:val="00A32D1B"/>
    <w:rsid w:val="00A42079"/>
    <w:rsid w:val="00A4664E"/>
    <w:rsid w:val="00A531E8"/>
    <w:rsid w:val="00A573ED"/>
    <w:rsid w:val="00A60F08"/>
    <w:rsid w:val="00A61766"/>
    <w:rsid w:val="00A63022"/>
    <w:rsid w:val="00A6692C"/>
    <w:rsid w:val="00A71A7E"/>
    <w:rsid w:val="00A776D7"/>
    <w:rsid w:val="00A91C60"/>
    <w:rsid w:val="00A91E48"/>
    <w:rsid w:val="00A96E37"/>
    <w:rsid w:val="00A97444"/>
    <w:rsid w:val="00AA186F"/>
    <w:rsid w:val="00AA29E5"/>
    <w:rsid w:val="00AB0678"/>
    <w:rsid w:val="00AB3750"/>
    <w:rsid w:val="00AB4BF2"/>
    <w:rsid w:val="00AC00CF"/>
    <w:rsid w:val="00AC4EFA"/>
    <w:rsid w:val="00AC52CB"/>
    <w:rsid w:val="00AC5310"/>
    <w:rsid w:val="00AC7794"/>
    <w:rsid w:val="00AC7ECD"/>
    <w:rsid w:val="00AD009F"/>
    <w:rsid w:val="00AE6128"/>
    <w:rsid w:val="00AF299E"/>
    <w:rsid w:val="00AF54C5"/>
    <w:rsid w:val="00AF56FD"/>
    <w:rsid w:val="00AF5EA0"/>
    <w:rsid w:val="00B066DA"/>
    <w:rsid w:val="00B072C0"/>
    <w:rsid w:val="00B10135"/>
    <w:rsid w:val="00B10769"/>
    <w:rsid w:val="00B113F9"/>
    <w:rsid w:val="00B118A2"/>
    <w:rsid w:val="00B133D0"/>
    <w:rsid w:val="00B15418"/>
    <w:rsid w:val="00B17165"/>
    <w:rsid w:val="00B1737C"/>
    <w:rsid w:val="00B1758C"/>
    <w:rsid w:val="00B17639"/>
    <w:rsid w:val="00B23E58"/>
    <w:rsid w:val="00B23F73"/>
    <w:rsid w:val="00B30226"/>
    <w:rsid w:val="00B33C93"/>
    <w:rsid w:val="00B42124"/>
    <w:rsid w:val="00B443CE"/>
    <w:rsid w:val="00B449F5"/>
    <w:rsid w:val="00B4555A"/>
    <w:rsid w:val="00B51CAF"/>
    <w:rsid w:val="00B53C56"/>
    <w:rsid w:val="00B60464"/>
    <w:rsid w:val="00B606EF"/>
    <w:rsid w:val="00B618F8"/>
    <w:rsid w:val="00B64133"/>
    <w:rsid w:val="00B72E2D"/>
    <w:rsid w:val="00B745CB"/>
    <w:rsid w:val="00B805BD"/>
    <w:rsid w:val="00B80E26"/>
    <w:rsid w:val="00B81DA7"/>
    <w:rsid w:val="00B86490"/>
    <w:rsid w:val="00B873E2"/>
    <w:rsid w:val="00B91D3D"/>
    <w:rsid w:val="00B94E7D"/>
    <w:rsid w:val="00B97F08"/>
    <w:rsid w:val="00BA4663"/>
    <w:rsid w:val="00BA696B"/>
    <w:rsid w:val="00BA7212"/>
    <w:rsid w:val="00BC5F45"/>
    <w:rsid w:val="00BC71D6"/>
    <w:rsid w:val="00BD4C85"/>
    <w:rsid w:val="00BE1EFD"/>
    <w:rsid w:val="00BE4493"/>
    <w:rsid w:val="00BE456E"/>
    <w:rsid w:val="00BF3137"/>
    <w:rsid w:val="00BF4417"/>
    <w:rsid w:val="00BF44CB"/>
    <w:rsid w:val="00C02ECE"/>
    <w:rsid w:val="00C06AC7"/>
    <w:rsid w:val="00C13E0F"/>
    <w:rsid w:val="00C2031B"/>
    <w:rsid w:val="00C2080D"/>
    <w:rsid w:val="00C228D6"/>
    <w:rsid w:val="00C240C3"/>
    <w:rsid w:val="00C25562"/>
    <w:rsid w:val="00C265C5"/>
    <w:rsid w:val="00C27B89"/>
    <w:rsid w:val="00C34713"/>
    <w:rsid w:val="00C43DDB"/>
    <w:rsid w:val="00C46720"/>
    <w:rsid w:val="00C575E9"/>
    <w:rsid w:val="00C62202"/>
    <w:rsid w:val="00C6240E"/>
    <w:rsid w:val="00C647F2"/>
    <w:rsid w:val="00C66C6C"/>
    <w:rsid w:val="00C706BF"/>
    <w:rsid w:val="00C70FDD"/>
    <w:rsid w:val="00C73A39"/>
    <w:rsid w:val="00C80C0D"/>
    <w:rsid w:val="00C82E4D"/>
    <w:rsid w:val="00C85762"/>
    <w:rsid w:val="00C91234"/>
    <w:rsid w:val="00C93E36"/>
    <w:rsid w:val="00C950F3"/>
    <w:rsid w:val="00C96FB1"/>
    <w:rsid w:val="00CA1C01"/>
    <w:rsid w:val="00CB0962"/>
    <w:rsid w:val="00CB16F4"/>
    <w:rsid w:val="00CB1AC3"/>
    <w:rsid w:val="00CB1F18"/>
    <w:rsid w:val="00CB2FD2"/>
    <w:rsid w:val="00CB3015"/>
    <w:rsid w:val="00CB60E6"/>
    <w:rsid w:val="00CB657C"/>
    <w:rsid w:val="00CC03C4"/>
    <w:rsid w:val="00CC3E40"/>
    <w:rsid w:val="00CC3FFA"/>
    <w:rsid w:val="00CC6C03"/>
    <w:rsid w:val="00CD4FE6"/>
    <w:rsid w:val="00CD5884"/>
    <w:rsid w:val="00CD5DE8"/>
    <w:rsid w:val="00CD70A0"/>
    <w:rsid w:val="00CD74BD"/>
    <w:rsid w:val="00CE7723"/>
    <w:rsid w:val="00CE7903"/>
    <w:rsid w:val="00CF42F6"/>
    <w:rsid w:val="00CF6C71"/>
    <w:rsid w:val="00CF7A9A"/>
    <w:rsid w:val="00D00D60"/>
    <w:rsid w:val="00D017E5"/>
    <w:rsid w:val="00D01A19"/>
    <w:rsid w:val="00D04FF1"/>
    <w:rsid w:val="00D07CDB"/>
    <w:rsid w:val="00D1367C"/>
    <w:rsid w:val="00D14B3E"/>
    <w:rsid w:val="00D1582A"/>
    <w:rsid w:val="00D17FB1"/>
    <w:rsid w:val="00D21BE4"/>
    <w:rsid w:val="00D25C5A"/>
    <w:rsid w:val="00D309C4"/>
    <w:rsid w:val="00D32D2F"/>
    <w:rsid w:val="00D341CA"/>
    <w:rsid w:val="00D41AF4"/>
    <w:rsid w:val="00D4554A"/>
    <w:rsid w:val="00D45E53"/>
    <w:rsid w:val="00D47039"/>
    <w:rsid w:val="00D55EAF"/>
    <w:rsid w:val="00D63655"/>
    <w:rsid w:val="00D66257"/>
    <w:rsid w:val="00D673AD"/>
    <w:rsid w:val="00D75630"/>
    <w:rsid w:val="00D762B2"/>
    <w:rsid w:val="00D81ED8"/>
    <w:rsid w:val="00D842AA"/>
    <w:rsid w:val="00D86D76"/>
    <w:rsid w:val="00D87130"/>
    <w:rsid w:val="00D93E0B"/>
    <w:rsid w:val="00DA6860"/>
    <w:rsid w:val="00DA7546"/>
    <w:rsid w:val="00DB1A98"/>
    <w:rsid w:val="00DB4E25"/>
    <w:rsid w:val="00DB6FBE"/>
    <w:rsid w:val="00DC47C0"/>
    <w:rsid w:val="00DC68BB"/>
    <w:rsid w:val="00DC6C77"/>
    <w:rsid w:val="00DD145E"/>
    <w:rsid w:val="00DD1480"/>
    <w:rsid w:val="00DD29E1"/>
    <w:rsid w:val="00DD334E"/>
    <w:rsid w:val="00DE02C4"/>
    <w:rsid w:val="00DF07E7"/>
    <w:rsid w:val="00DF164D"/>
    <w:rsid w:val="00DF1796"/>
    <w:rsid w:val="00DF270D"/>
    <w:rsid w:val="00DF3137"/>
    <w:rsid w:val="00DF3B28"/>
    <w:rsid w:val="00DF5606"/>
    <w:rsid w:val="00DF56EC"/>
    <w:rsid w:val="00E020F2"/>
    <w:rsid w:val="00E02FF2"/>
    <w:rsid w:val="00E12059"/>
    <w:rsid w:val="00E17555"/>
    <w:rsid w:val="00E204D2"/>
    <w:rsid w:val="00E25D21"/>
    <w:rsid w:val="00E2618F"/>
    <w:rsid w:val="00E31716"/>
    <w:rsid w:val="00E32B95"/>
    <w:rsid w:val="00E34551"/>
    <w:rsid w:val="00E34EAB"/>
    <w:rsid w:val="00E373B2"/>
    <w:rsid w:val="00E40036"/>
    <w:rsid w:val="00E41969"/>
    <w:rsid w:val="00E423B5"/>
    <w:rsid w:val="00E45000"/>
    <w:rsid w:val="00E451FD"/>
    <w:rsid w:val="00E4667F"/>
    <w:rsid w:val="00E50E93"/>
    <w:rsid w:val="00E52CE0"/>
    <w:rsid w:val="00E556EC"/>
    <w:rsid w:val="00E55B22"/>
    <w:rsid w:val="00E60D44"/>
    <w:rsid w:val="00E63EF8"/>
    <w:rsid w:val="00E64502"/>
    <w:rsid w:val="00E66570"/>
    <w:rsid w:val="00E66C98"/>
    <w:rsid w:val="00E72567"/>
    <w:rsid w:val="00E7672C"/>
    <w:rsid w:val="00E771D2"/>
    <w:rsid w:val="00E80EDB"/>
    <w:rsid w:val="00E84794"/>
    <w:rsid w:val="00E847DF"/>
    <w:rsid w:val="00E90013"/>
    <w:rsid w:val="00E928BB"/>
    <w:rsid w:val="00E93488"/>
    <w:rsid w:val="00EA0CCD"/>
    <w:rsid w:val="00EA28CA"/>
    <w:rsid w:val="00EA4444"/>
    <w:rsid w:val="00EA6A01"/>
    <w:rsid w:val="00EB0E23"/>
    <w:rsid w:val="00EB17AF"/>
    <w:rsid w:val="00EB4C04"/>
    <w:rsid w:val="00EB56F2"/>
    <w:rsid w:val="00EC08B2"/>
    <w:rsid w:val="00EC2B12"/>
    <w:rsid w:val="00EC4D59"/>
    <w:rsid w:val="00ED06A6"/>
    <w:rsid w:val="00ED2A64"/>
    <w:rsid w:val="00ED451D"/>
    <w:rsid w:val="00ED7C55"/>
    <w:rsid w:val="00EE2FDC"/>
    <w:rsid w:val="00F07C02"/>
    <w:rsid w:val="00F157C6"/>
    <w:rsid w:val="00F234BF"/>
    <w:rsid w:val="00F268B3"/>
    <w:rsid w:val="00F27014"/>
    <w:rsid w:val="00F31CCA"/>
    <w:rsid w:val="00F32BBA"/>
    <w:rsid w:val="00F43E0E"/>
    <w:rsid w:val="00F473F0"/>
    <w:rsid w:val="00F47540"/>
    <w:rsid w:val="00F50569"/>
    <w:rsid w:val="00F51139"/>
    <w:rsid w:val="00F52969"/>
    <w:rsid w:val="00F55F14"/>
    <w:rsid w:val="00F622ED"/>
    <w:rsid w:val="00F65EEA"/>
    <w:rsid w:val="00F776D3"/>
    <w:rsid w:val="00F84075"/>
    <w:rsid w:val="00F90537"/>
    <w:rsid w:val="00F91733"/>
    <w:rsid w:val="00F920DB"/>
    <w:rsid w:val="00F95209"/>
    <w:rsid w:val="00F964AD"/>
    <w:rsid w:val="00FB3956"/>
    <w:rsid w:val="00FC0F8B"/>
    <w:rsid w:val="00FC24AF"/>
    <w:rsid w:val="00FD53BA"/>
    <w:rsid w:val="00FD6B0E"/>
    <w:rsid w:val="00FD7E42"/>
    <w:rsid w:val="00FE1B77"/>
    <w:rsid w:val="00FE40D8"/>
    <w:rsid w:val="00FE7219"/>
    <w:rsid w:val="00FF0163"/>
    <w:rsid w:val="01954D8D"/>
    <w:rsid w:val="02E32A5D"/>
    <w:rsid w:val="035D5749"/>
    <w:rsid w:val="057D13AE"/>
    <w:rsid w:val="064A667C"/>
    <w:rsid w:val="06B2613D"/>
    <w:rsid w:val="06B753E3"/>
    <w:rsid w:val="08A51999"/>
    <w:rsid w:val="09B849A4"/>
    <w:rsid w:val="09F160E3"/>
    <w:rsid w:val="0AC64130"/>
    <w:rsid w:val="0B42525D"/>
    <w:rsid w:val="0C1F7DEE"/>
    <w:rsid w:val="0C88769D"/>
    <w:rsid w:val="0CDE660D"/>
    <w:rsid w:val="0D032A7C"/>
    <w:rsid w:val="0F662138"/>
    <w:rsid w:val="0F9B0CE9"/>
    <w:rsid w:val="0FF35275"/>
    <w:rsid w:val="100732C8"/>
    <w:rsid w:val="10DA6205"/>
    <w:rsid w:val="111441F0"/>
    <w:rsid w:val="113D3FD2"/>
    <w:rsid w:val="121F7D21"/>
    <w:rsid w:val="129B2E20"/>
    <w:rsid w:val="12AA5DF8"/>
    <w:rsid w:val="134E6356"/>
    <w:rsid w:val="13AE24B4"/>
    <w:rsid w:val="15364A7C"/>
    <w:rsid w:val="15602ADB"/>
    <w:rsid w:val="15D52593"/>
    <w:rsid w:val="197E6634"/>
    <w:rsid w:val="1B8A2034"/>
    <w:rsid w:val="1BC72FF7"/>
    <w:rsid w:val="1D03226A"/>
    <w:rsid w:val="1D5030CD"/>
    <w:rsid w:val="1D876087"/>
    <w:rsid w:val="1DFF64E4"/>
    <w:rsid w:val="1ECB51CD"/>
    <w:rsid w:val="1FDC1B35"/>
    <w:rsid w:val="2056595D"/>
    <w:rsid w:val="20AE4DE8"/>
    <w:rsid w:val="21194658"/>
    <w:rsid w:val="216834DE"/>
    <w:rsid w:val="21996AC1"/>
    <w:rsid w:val="219F3EE2"/>
    <w:rsid w:val="21F57098"/>
    <w:rsid w:val="22BB5089"/>
    <w:rsid w:val="24321B2E"/>
    <w:rsid w:val="244B21DE"/>
    <w:rsid w:val="245C7DFE"/>
    <w:rsid w:val="247F3074"/>
    <w:rsid w:val="24B82D9D"/>
    <w:rsid w:val="251328EC"/>
    <w:rsid w:val="258A2E5C"/>
    <w:rsid w:val="25B924F3"/>
    <w:rsid w:val="25E06B30"/>
    <w:rsid w:val="268419CF"/>
    <w:rsid w:val="26AC2D80"/>
    <w:rsid w:val="26F95364"/>
    <w:rsid w:val="29A303B9"/>
    <w:rsid w:val="2B9C319C"/>
    <w:rsid w:val="2C1D776C"/>
    <w:rsid w:val="2C6C12B9"/>
    <w:rsid w:val="2CA93C52"/>
    <w:rsid w:val="2D912E3A"/>
    <w:rsid w:val="2DC02C2B"/>
    <w:rsid w:val="2DE440F7"/>
    <w:rsid w:val="2FA14A50"/>
    <w:rsid w:val="2FA70F17"/>
    <w:rsid w:val="32951C0D"/>
    <w:rsid w:val="340E7198"/>
    <w:rsid w:val="34A75784"/>
    <w:rsid w:val="373F75CC"/>
    <w:rsid w:val="38F320AA"/>
    <w:rsid w:val="399D40A5"/>
    <w:rsid w:val="3A2F6D68"/>
    <w:rsid w:val="3AC9385E"/>
    <w:rsid w:val="3B3306F0"/>
    <w:rsid w:val="3B563B4D"/>
    <w:rsid w:val="3C2825B0"/>
    <w:rsid w:val="3C2B26B7"/>
    <w:rsid w:val="3C881F02"/>
    <w:rsid w:val="3CB420C3"/>
    <w:rsid w:val="3D8B796D"/>
    <w:rsid w:val="3DA80A30"/>
    <w:rsid w:val="3E643221"/>
    <w:rsid w:val="3EC32453"/>
    <w:rsid w:val="3ECC520D"/>
    <w:rsid w:val="3EE0186C"/>
    <w:rsid w:val="3EFE09FD"/>
    <w:rsid w:val="3F345DBE"/>
    <w:rsid w:val="40F15753"/>
    <w:rsid w:val="41F950F8"/>
    <w:rsid w:val="42EB3BA1"/>
    <w:rsid w:val="43F63E0D"/>
    <w:rsid w:val="44092E2E"/>
    <w:rsid w:val="441077D2"/>
    <w:rsid w:val="44396064"/>
    <w:rsid w:val="459609D9"/>
    <w:rsid w:val="45A37566"/>
    <w:rsid w:val="45CF0A85"/>
    <w:rsid w:val="46194A11"/>
    <w:rsid w:val="47752ACA"/>
    <w:rsid w:val="47C813F2"/>
    <w:rsid w:val="4A6F6249"/>
    <w:rsid w:val="4AB74C38"/>
    <w:rsid w:val="4B6224E5"/>
    <w:rsid w:val="4B8C4A56"/>
    <w:rsid w:val="4BF97936"/>
    <w:rsid w:val="4C457E30"/>
    <w:rsid w:val="4D2A3925"/>
    <w:rsid w:val="4DB20386"/>
    <w:rsid w:val="4DF02D90"/>
    <w:rsid w:val="5005695E"/>
    <w:rsid w:val="50286811"/>
    <w:rsid w:val="51266B84"/>
    <w:rsid w:val="5191036A"/>
    <w:rsid w:val="546B5509"/>
    <w:rsid w:val="548642E9"/>
    <w:rsid w:val="54C12E33"/>
    <w:rsid w:val="55633225"/>
    <w:rsid w:val="56DD4D3A"/>
    <w:rsid w:val="57555A7B"/>
    <w:rsid w:val="5770382C"/>
    <w:rsid w:val="57CB522F"/>
    <w:rsid w:val="57F46FBE"/>
    <w:rsid w:val="58042686"/>
    <w:rsid w:val="58246D5D"/>
    <w:rsid w:val="58EC5960"/>
    <w:rsid w:val="59151C86"/>
    <w:rsid w:val="59C52328"/>
    <w:rsid w:val="5AD37D8A"/>
    <w:rsid w:val="5B906095"/>
    <w:rsid w:val="5BF60A75"/>
    <w:rsid w:val="5C9F2D01"/>
    <w:rsid w:val="5D5617A6"/>
    <w:rsid w:val="5D716329"/>
    <w:rsid w:val="5EA23F15"/>
    <w:rsid w:val="5EA7685B"/>
    <w:rsid w:val="5ED40954"/>
    <w:rsid w:val="60BE22C5"/>
    <w:rsid w:val="612C30C5"/>
    <w:rsid w:val="619A2BBF"/>
    <w:rsid w:val="61DF02D0"/>
    <w:rsid w:val="62710E5F"/>
    <w:rsid w:val="63735B47"/>
    <w:rsid w:val="63FF1EA7"/>
    <w:rsid w:val="64C32497"/>
    <w:rsid w:val="669D0EEA"/>
    <w:rsid w:val="66C861F9"/>
    <w:rsid w:val="66D04BBC"/>
    <w:rsid w:val="67655BF9"/>
    <w:rsid w:val="67C6389B"/>
    <w:rsid w:val="685D4EEE"/>
    <w:rsid w:val="68AE1587"/>
    <w:rsid w:val="68D53E8D"/>
    <w:rsid w:val="6A194855"/>
    <w:rsid w:val="6B292599"/>
    <w:rsid w:val="6D9172E5"/>
    <w:rsid w:val="6E133456"/>
    <w:rsid w:val="6ECB7DD2"/>
    <w:rsid w:val="6F79454F"/>
    <w:rsid w:val="6FE61065"/>
    <w:rsid w:val="70675779"/>
    <w:rsid w:val="713E0334"/>
    <w:rsid w:val="716F5E64"/>
    <w:rsid w:val="72417AFE"/>
    <w:rsid w:val="729B5F03"/>
    <w:rsid w:val="72D92B78"/>
    <w:rsid w:val="72F62A89"/>
    <w:rsid w:val="737357AF"/>
    <w:rsid w:val="74163BE4"/>
    <w:rsid w:val="75292EAC"/>
    <w:rsid w:val="755A5FEF"/>
    <w:rsid w:val="75775016"/>
    <w:rsid w:val="758E0106"/>
    <w:rsid w:val="7626762C"/>
    <w:rsid w:val="778F5135"/>
    <w:rsid w:val="77B53D6B"/>
    <w:rsid w:val="77D54B08"/>
    <w:rsid w:val="784F7772"/>
    <w:rsid w:val="78713929"/>
    <w:rsid w:val="78E55995"/>
    <w:rsid w:val="79267C0B"/>
    <w:rsid w:val="79C90FB7"/>
    <w:rsid w:val="7A5B105F"/>
    <w:rsid w:val="7ABE4B56"/>
    <w:rsid w:val="7B264F79"/>
    <w:rsid w:val="7B3E5659"/>
    <w:rsid w:val="7BCC4162"/>
    <w:rsid w:val="7CD80967"/>
    <w:rsid w:val="7D0C2828"/>
    <w:rsid w:val="7D902239"/>
    <w:rsid w:val="7EAF7817"/>
    <w:rsid w:val="7FD644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unhideWhenUsed="0" w:uiPriority="0" w:semiHidden="0" w:name="HTML Acronym"/>
    <w:lsdException w:qFormat="1"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qFormat="1" w:uiPriority="0" w:semiHidden="0" w:name="Table Grid"/>
    <w:lsdException w:uiPriority="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99" w:semiHidden="0" w:name="Quote"/>
    <w:lsdException w:qFormat="1" w:unhideWhenUsed="0" w:uiPriority="99"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1"/>
      <w:lang w:val="en-US" w:eastAsia="zh-CN" w:bidi="ar-SA"/>
    </w:rPr>
  </w:style>
  <w:style w:type="paragraph" w:styleId="3">
    <w:name w:val="heading 1"/>
    <w:basedOn w:val="1"/>
    <w:next w:val="1"/>
    <w:link w:val="97"/>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103"/>
    <w:semiHidden/>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104"/>
    <w:semiHidden/>
    <w:unhideWhenUsed/>
    <w:qFormat/>
    <w:uiPriority w:val="0"/>
    <w:pPr>
      <w:keepNext/>
      <w:keepLines/>
      <w:spacing w:before="260" w:after="260" w:line="416" w:lineRule="auto"/>
      <w:outlineLvl w:val="2"/>
    </w:pPr>
    <w:rPr>
      <w:b/>
      <w:bCs/>
      <w:sz w:val="32"/>
      <w:szCs w:val="32"/>
    </w:rPr>
  </w:style>
  <w:style w:type="paragraph" w:styleId="6">
    <w:name w:val="heading 4"/>
    <w:basedOn w:val="1"/>
    <w:next w:val="1"/>
    <w:link w:val="105"/>
    <w:semiHidden/>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7">
    <w:name w:val="heading 5"/>
    <w:basedOn w:val="1"/>
    <w:next w:val="1"/>
    <w:link w:val="106"/>
    <w:semiHidden/>
    <w:unhideWhenUsed/>
    <w:qFormat/>
    <w:uiPriority w:val="0"/>
    <w:pPr>
      <w:keepNext/>
      <w:keepLines/>
      <w:spacing w:before="280" w:after="290" w:line="376" w:lineRule="auto"/>
      <w:outlineLvl w:val="4"/>
    </w:pPr>
    <w:rPr>
      <w:b/>
      <w:bCs/>
      <w:sz w:val="28"/>
      <w:szCs w:val="28"/>
    </w:rPr>
  </w:style>
  <w:style w:type="paragraph" w:styleId="8">
    <w:name w:val="heading 6"/>
    <w:basedOn w:val="1"/>
    <w:next w:val="1"/>
    <w:link w:val="107"/>
    <w:semiHidden/>
    <w:unhideWhenUsed/>
    <w:qFormat/>
    <w:uiPriority w:val="0"/>
    <w:pPr>
      <w:keepNext/>
      <w:keepLines/>
      <w:spacing w:before="240" w:after="64" w:line="320" w:lineRule="auto"/>
      <w:outlineLvl w:val="5"/>
    </w:pPr>
    <w:rPr>
      <w:rFonts w:asciiTheme="majorHAnsi" w:hAnsiTheme="majorHAnsi" w:eastAsiaTheme="majorEastAsia" w:cstheme="majorBidi"/>
      <w:b/>
      <w:bCs/>
      <w:sz w:val="24"/>
      <w:szCs w:val="24"/>
    </w:rPr>
  </w:style>
  <w:style w:type="paragraph" w:styleId="9">
    <w:name w:val="heading 7"/>
    <w:basedOn w:val="1"/>
    <w:next w:val="1"/>
    <w:link w:val="108"/>
    <w:semiHidden/>
    <w:unhideWhenUsed/>
    <w:qFormat/>
    <w:uiPriority w:val="0"/>
    <w:pPr>
      <w:keepNext/>
      <w:keepLines/>
      <w:spacing w:before="240" w:after="64" w:line="320" w:lineRule="auto"/>
      <w:outlineLvl w:val="6"/>
    </w:pPr>
    <w:rPr>
      <w:b/>
      <w:bCs/>
      <w:sz w:val="24"/>
      <w:szCs w:val="24"/>
    </w:rPr>
  </w:style>
  <w:style w:type="paragraph" w:styleId="10">
    <w:name w:val="heading 8"/>
    <w:basedOn w:val="1"/>
    <w:next w:val="1"/>
    <w:link w:val="109"/>
    <w:semiHidden/>
    <w:unhideWhenUsed/>
    <w:qFormat/>
    <w:uiPriority w:val="0"/>
    <w:pPr>
      <w:keepNext/>
      <w:keepLines/>
      <w:spacing w:before="240" w:after="64" w:line="320" w:lineRule="auto"/>
      <w:outlineLvl w:val="7"/>
    </w:pPr>
    <w:rPr>
      <w:rFonts w:asciiTheme="majorHAnsi" w:hAnsiTheme="majorHAnsi" w:eastAsiaTheme="majorEastAsia" w:cstheme="majorBidi"/>
      <w:sz w:val="24"/>
      <w:szCs w:val="24"/>
    </w:rPr>
  </w:style>
  <w:style w:type="paragraph" w:styleId="11">
    <w:name w:val="heading 9"/>
    <w:basedOn w:val="1"/>
    <w:next w:val="1"/>
    <w:link w:val="110"/>
    <w:semiHidden/>
    <w:unhideWhenUsed/>
    <w:qFormat/>
    <w:uiPriority w:val="0"/>
    <w:pPr>
      <w:keepNext/>
      <w:keepLines/>
      <w:spacing w:before="240" w:after="64" w:line="320" w:lineRule="auto"/>
      <w:outlineLvl w:val="8"/>
    </w:pPr>
    <w:rPr>
      <w:rFonts w:asciiTheme="majorHAnsi" w:hAnsiTheme="majorHAnsi" w:eastAsiaTheme="majorEastAsia" w:cstheme="majorBidi"/>
    </w:rPr>
  </w:style>
  <w:style w:type="character" w:default="1" w:styleId="90">
    <w:name w:val="Default Paragraph Font"/>
    <w:semiHidden/>
    <w:unhideWhenUsed/>
    <w:qFormat/>
    <w:uiPriority w:val="1"/>
  </w:style>
  <w:style w:type="table" w:default="1" w:styleId="88">
    <w:name w:val="Normal Table"/>
    <w:semiHidden/>
    <w:unhideWhenUsed/>
    <w:qFormat/>
    <w:uiPriority w:val="99"/>
    <w:tblPr>
      <w:tblCellMar>
        <w:top w:w="0" w:type="dxa"/>
        <w:left w:w="108" w:type="dxa"/>
        <w:bottom w:w="0" w:type="dxa"/>
        <w:right w:w="108" w:type="dxa"/>
      </w:tblCellMar>
    </w:tblPr>
  </w:style>
  <w:style w:type="paragraph" w:styleId="2">
    <w:name w:val="macro"/>
    <w:link w:val="115"/>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12">
    <w:name w:val="List 3"/>
    <w:basedOn w:val="1"/>
    <w:qFormat/>
    <w:uiPriority w:val="0"/>
    <w:pPr>
      <w:ind w:left="100" w:leftChars="400" w:hanging="200" w:hangingChars="200"/>
      <w:contextualSpacing/>
    </w:pPr>
  </w:style>
  <w:style w:type="paragraph" w:styleId="13">
    <w:name w:val="toc 7"/>
    <w:basedOn w:val="1"/>
    <w:next w:val="1"/>
    <w:qFormat/>
    <w:uiPriority w:val="0"/>
    <w:pPr>
      <w:ind w:left="2520" w:leftChars="1200"/>
    </w:pPr>
  </w:style>
  <w:style w:type="paragraph" w:styleId="14">
    <w:name w:val="List Number 2"/>
    <w:basedOn w:val="1"/>
    <w:qFormat/>
    <w:uiPriority w:val="0"/>
    <w:pPr>
      <w:numPr>
        <w:ilvl w:val="0"/>
        <w:numId w:val="1"/>
      </w:numPr>
      <w:contextualSpacing/>
    </w:pPr>
  </w:style>
  <w:style w:type="paragraph" w:styleId="15">
    <w:name w:val="table of authorities"/>
    <w:basedOn w:val="1"/>
    <w:next w:val="1"/>
    <w:qFormat/>
    <w:uiPriority w:val="0"/>
    <w:pPr>
      <w:ind w:left="420" w:leftChars="200"/>
    </w:pPr>
  </w:style>
  <w:style w:type="paragraph" w:styleId="16">
    <w:name w:val="Note Heading"/>
    <w:basedOn w:val="1"/>
    <w:next w:val="1"/>
    <w:link w:val="140"/>
    <w:qFormat/>
    <w:uiPriority w:val="0"/>
    <w:pPr>
      <w:jc w:val="center"/>
    </w:pPr>
  </w:style>
  <w:style w:type="paragraph" w:styleId="17">
    <w:name w:val="List Bullet 4"/>
    <w:basedOn w:val="1"/>
    <w:qFormat/>
    <w:uiPriority w:val="0"/>
    <w:pPr>
      <w:numPr>
        <w:ilvl w:val="0"/>
        <w:numId w:val="2"/>
      </w:numPr>
      <w:contextualSpacing/>
    </w:pPr>
  </w:style>
  <w:style w:type="paragraph" w:styleId="18">
    <w:name w:val="index 8"/>
    <w:basedOn w:val="1"/>
    <w:next w:val="1"/>
    <w:qFormat/>
    <w:uiPriority w:val="0"/>
    <w:pPr>
      <w:ind w:left="1400" w:leftChars="1400"/>
    </w:pPr>
  </w:style>
  <w:style w:type="paragraph" w:styleId="19">
    <w:name w:val="E-mail Signature"/>
    <w:basedOn w:val="1"/>
    <w:link w:val="113"/>
    <w:qFormat/>
    <w:uiPriority w:val="0"/>
  </w:style>
  <w:style w:type="paragraph" w:styleId="20">
    <w:name w:val="List Number"/>
    <w:basedOn w:val="1"/>
    <w:qFormat/>
    <w:uiPriority w:val="0"/>
    <w:pPr>
      <w:numPr>
        <w:ilvl w:val="0"/>
        <w:numId w:val="3"/>
      </w:numPr>
      <w:contextualSpacing/>
    </w:pPr>
  </w:style>
  <w:style w:type="paragraph" w:styleId="21">
    <w:name w:val="Normal Indent"/>
    <w:basedOn w:val="1"/>
    <w:qFormat/>
    <w:uiPriority w:val="0"/>
    <w:pPr>
      <w:ind w:firstLine="420" w:firstLineChars="200"/>
    </w:pPr>
  </w:style>
  <w:style w:type="paragraph" w:styleId="22">
    <w:name w:val="caption"/>
    <w:basedOn w:val="1"/>
    <w:next w:val="1"/>
    <w:semiHidden/>
    <w:unhideWhenUsed/>
    <w:qFormat/>
    <w:uiPriority w:val="0"/>
    <w:rPr>
      <w:rFonts w:eastAsia="黑体" w:asciiTheme="majorHAnsi" w:hAnsiTheme="majorHAnsi" w:cstheme="majorBidi"/>
      <w:sz w:val="20"/>
      <w:szCs w:val="20"/>
    </w:rPr>
  </w:style>
  <w:style w:type="paragraph" w:styleId="23">
    <w:name w:val="index 5"/>
    <w:basedOn w:val="1"/>
    <w:next w:val="1"/>
    <w:qFormat/>
    <w:uiPriority w:val="0"/>
    <w:pPr>
      <w:ind w:left="800" w:leftChars="800"/>
    </w:pPr>
  </w:style>
  <w:style w:type="paragraph" w:styleId="24">
    <w:name w:val="List Bullet"/>
    <w:basedOn w:val="1"/>
    <w:qFormat/>
    <w:uiPriority w:val="0"/>
    <w:pPr>
      <w:numPr>
        <w:ilvl w:val="0"/>
        <w:numId w:val="4"/>
      </w:numPr>
      <w:contextualSpacing/>
    </w:pPr>
  </w:style>
  <w:style w:type="paragraph" w:styleId="25">
    <w:name w:val="envelope address"/>
    <w:basedOn w:val="1"/>
    <w:qFormat/>
    <w:uiPriority w:val="0"/>
    <w:pPr>
      <w:framePr w:w="7920" w:h="1980" w:hRule="exact" w:hSpace="180" w:wrap="auto" w:vAnchor="margin" w:hAnchor="page" w:xAlign="center" w:yAlign="bottom"/>
      <w:snapToGrid w:val="0"/>
      <w:ind w:left="100" w:leftChars="1400"/>
    </w:pPr>
    <w:rPr>
      <w:rFonts w:asciiTheme="majorHAnsi" w:hAnsiTheme="majorHAnsi" w:eastAsiaTheme="majorEastAsia" w:cstheme="majorBidi"/>
      <w:sz w:val="24"/>
      <w:szCs w:val="24"/>
    </w:rPr>
  </w:style>
  <w:style w:type="paragraph" w:styleId="26">
    <w:name w:val="Document Map"/>
    <w:basedOn w:val="1"/>
    <w:link w:val="127"/>
    <w:qFormat/>
    <w:uiPriority w:val="0"/>
    <w:rPr>
      <w:rFonts w:ascii="Microsoft YaHei UI" w:eastAsia="Microsoft YaHei UI"/>
      <w:sz w:val="18"/>
      <w:szCs w:val="18"/>
    </w:rPr>
  </w:style>
  <w:style w:type="paragraph" w:styleId="27">
    <w:name w:val="toa heading"/>
    <w:basedOn w:val="1"/>
    <w:next w:val="1"/>
    <w:qFormat/>
    <w:uiPriority w:val="0"/>
    <w:pPr>
      <w:spacing w:before="120"/>
    </w:pPr>
    <w:rPr>
      <w:rFonts w:asciiTheme="majorHAnsi" w:hAnsiTheme="majorHAnsi" w:eastAsiaTheme="majorEastAsia" w:cstheme="majorBidi"/>
      <w:sz w:val="24"/>
      <w:szCs w:val="24"/>
    </w:rPr>
  </w:style>
  <w:style w:type="paragraph" w:styleId="28">
    <w:name w:val="annotation text"/>
    <w:basedOn w:val="1"/>
    <w:link w:val="121"/>
    <w:qFormat/>
    <w:uiPriority w:val="0"/>
    <w:pPr>
      <w:jc w:val="left"/>
    </w:pPr>
  </w:style>
  <w:style w:type="paragraph" w:styleId="29">
    <w:name w:val="index 6"/>
    <w:basedOn w:val="1"/>
    <w:next w:val="1"/>
    <w:qFormat/>
    <w:uiPriority w:val="0"/>
    <w:pPr>
      <w:ind w:left="1000" w:leftChars="1000"/>
    </w:pPr>
  </w:style>
  <w:style w:type="paragraph" w:styleId="30">
    <w:name w:val="Salutation"/>
    <w:basedOn w:val="1"/>
    <w:next w:val="1"/>
    <w:link w:val="111"/>
    <w:qFormat/>
    <w:uiPriority w:val="0"/>
  </w:style>
  <w:style w:type="paragraph" w:styleId="31">
    <w:name w:val="Body Text 3"/>
    <w:basedOn w:val="1"/>
    <w:link w:val="137"/>
    <w:qFormat/>
    <w:uiPriority w:val="0"/>
    <w:pPr>
      <w:spacing w:after="120"/>
    </w:pPr>
    <w:rPr>
      <w:sz w:val="16"/>
      <w:szCs w:val="16"/>
    </w:rPr>
  </w:style>
  <w:style w:type="paragraph" w:styleId="32">
    <w:name w:val="Closing"/>
    <w:basedOn w:val="1"/>
    <w:link w:val="117"/>
    <w:qFormat/>
    <w:uiPriority w:val="0"/>
    <w:pPr>
      <w:ind w:left="100" w:leftChars="2100"/>
    </w:pPr>
  </w:style>
  <w:style w:type="paragraph" w:styleId="33">
    <w:name w:val="List Bullet 3"/>
    <w:basedOn w:val="1"/>
    <w:qFormat/>
    <w:uiPriority w:val="0"/>
    <w:pPr>
      <w:numPr>
        <w:ilvl w:val="0"/>
        <w:numId w:val="5"/>
      </w:numPr>
      <w:contextualSpacing/>
    </w:pPr>
  </w:style>
  <w:style w:type="paragraph" w:styleId="34">
    <w:name w:val="Body Text"/>
    <w:basedOn w:val="1"/>
    <w:link w:val="132"/>
    <w:qFormat/>
    <w:uiPriority w:val="0"/>
    <w:pPr>
      <w:spacing w:after="120"/>
    </w:pPr>
  </w:style>
  <w:style w:type="paragraph" w:styleId="35">
    <w:name w:val="Body Text Indent"/>
    <w:basedOn w:val="1"/>
    <w:link w:val="134"/>
    <w:qFormat/>
    <w:uiPriority w:val="0"/>
    <w:pPr>
      <w:spacing w:after="120"/>
      <w:ind w:left="420" w:leftChars="200"/>
    </w:pPr>
  </w:style>
  <w:style w:type="paragraph" w:styleId="36">
    <w:name w:val="List Number 3"/>
    <w:basedOn w:val="1"/>
    <w:qFormat/>
    <w:uiPriority w:val="0"/>
    <w:pPr>
      <w:numPr>
        <w:ilvl w:val="0"/>
        <w:numId w:val="6"/>
      </w:numPr>
      <w:contextualSpacing/>
    </w:pPr>
  </w:style>
  <w:style w:type="paragraph" w:styleId="37">
    <w:name w:val="List 2"/>
    <w:basedOn w:val="1"/>
    <w:qFormat/>
    <w:uiPriority w:val="0"/>
    <w:pPr>
      <w:ind w:left="100" w:leftChars="200" w:hanging="200" w:hangingChars="200"/>
      <w:contextualSpacing/>
    </w:pPr>
  </w:style>
  <w:style w:type="paragraph" w:styleId="38">
    <w:name w:val="List Continue"/>
    <w:basedOn w:val="1"/>
    <w:qFormat/>
    <w:uiPriority w:val="0"/>
    <w:pPr>
      <w:spacing w:after="120"/>
      <w:ind w:left="420" w:leftChars="200"/>
      <w:contextualSpacing/>
    </w:pPr>
  </w:style>
  <w:style w:type="paragraph" w:styleId="39">
    <w:name w:val="Block Text"/>
    <w:basedOn w:val="1"/>
    <w:qFormat/>
    <w:uiPriority w:val="0"/>
    <w:pPr>
      <w:spacing w:after="120"/>
      <w:ind w:left="1440" w:leftChars="700" w:right="1440" w:rightChars="700"/>
    </w:pPr>
  </w:style>
  <w:style w:type="paragraph" w:styleId="40">
    <w:name w:val="List Bullet 2"/>
    <w:basedOn w:val="1"/>
    <w:qFormat/>
    <w:uiPriority w:val="0"/>
    <w:pPr>
      <w:numPr>
        <w:ilvl w:val="0"/>
        <w:numId w:val="7"/>
      </w:numPr>
      <w:contextualSpacing/>
    </w:pPr>
  </w:style>
  <w:style w:type="paragraph" w:styleId="41">
    <w:name w:val="HTML Address"/>
    <w:basedOn w:val="1"/>
    <w:link w:val="99"/>
    <w:qFormat/>
    <w:uiPriority w:val="0"/>
    <w:rPr>
      <w:i/>
      <w:iCs/>
    </w:rPr>
  </w:style>
  <w:style w:type="paragraph" w:styleId="42">
    <w:name w:val="index 4"/>
    <w:basedOn w:val="1"/>
    <w:next w:val="1"/>
    <w:qFormat/>
    <w:uiPriority w:val="0"/>
    <w:pPr>
      <w:ind w:left="600" w:leftChars="600"/>
    </w:pPr>
  </w:style>
  <w:style w:type="paragraph" w:styleId="43">
    <w:name w:val="toc 5"/>
    <w:basedOn w:val="1"/>
    <w:next w:val="1"/>
    <w:qFormat/>
    <w:uiPriority w:val="0"/>
    <w:pPr>
      <w:ind w:left="1680" w:leftChars="800"/>
    </w:pPr>
  </w:style>
  <w:style w:type="paragraph" w:styleId="44">
    <w:name w:val="toc 3"/>
    <w:basedOn w:val="1"/>
    <w:next w:val="1"/>
    <w:qFormat/>
    <w:uiPriority w:val="0"/>
    <w:pPr>
      <w:ind w:left="840" w:leftChars="400"/>
    </w:pPr>
  </w:style>
  <w:style w:type="paragraph" w:styleId="45">
    <w:name w:val="Plain Text"/>
    <w:basedOn w:val="1"/>
    <w:link w:val="112"/>
    <w:qFormat/>
    <w:uiPriority w:val="0"/>
    <w:rPr>
      <w:rFonts w:hAnsi="Courier New" w:cs="Courier New" w:asciiTheme="minorEastAsia" w:eastAsiaTheme="minorEastAsia"/>
    </w:rPr>
  </w:style>
  <w:style w:type="paragraph" w:styleId="46">
    <w:name w:val="List Bullet 5"/>
    <w:basedOn w:val="1"/>
    <w:qFormat/>
    <w:uiPriority w:val="0"/>
    <w:pPr>
      <w:numPr>
        <w:ilvl w:val="0"/>
        <w:numId w:val="8"/>
      </w:numPr>
      <w:contextualSpacing/>
    </w:pPr>
  </w:style>
  <w:style w:type="paragraph" w:styleId="47">
    <w:name w:val="List Number 4"/>
    <w:basedOn w:val="1"/>
    <w:qFormat/>
    <w:uiPriority w:val="0"/>
    <w:pPr>
      <w:numPr>
        <w:ilvl w:val="0"/>
        <w:numId w:val="9"/>
      </w:numPr>
      <w:contextualSpacing/>
    </w:pPr>
  </w:style>
  <w:style w:type="paragraph" w:styleId="48">
    <w:name w:val="toc 8"/>
    <w:basedOn w:val="1"/>
    <w:next w:val="1"/>
    <w:qFormat/>
    <w:uiPriority w:val="0"/>
    <w:pPr>
      <w:ind w:left="2940" w:leftChars="1400"/>
    </w:pPr>
  </w:style>
  <w:style w:type="paragraph" w:styleId="49">
    <w:name w:val="index 3"/>
    <w:basedOn w:val="1"/>
    <w:next w:val="1"/>
    <w:qFormat/>
    <w:uiPriority w:val="0"/>
    <w:pPr>
      <w:ind w:left="400" w:leftChars="400"/>
    </w:pPr>
  </w:style>
  <w:style w:type="paragraph" w:styleId="50">
    <w:name w:val="Date"/>
    <w:basedOn w:val="1"/>
    <w:next w:val="1"/>
    <w:link w:val="124"/>
    <w:qFormat/>
    <w:uiPriority w:val="0"/>
    <w:pPr>
      <w:ind w:left="100" w:leftChars="2500"/>
    </w:pPr>
  </w:style>
  <w:style w:type="paragraph" w:styleId="51">
    <w:name w:val="Body Text Indent 2"/>
    <w:basedOn w:val="1"/>
    <w:link w:val="138"/>
    <w:qFormat/>
    <w:uiPriority w:val="0"/>
    <w:pPr>
      <w:spacing w:after="120" w:line="480" w:lineRule="auto"/>
      <w:ind w:left="420" w:leftChars="200"/>
    </w:pPr>
  </w:style>
  <w:style w:type="paragraph" w:styleId="52">
    <w:name w:val="endnote text"/>
    <w:basedOn w:val="1"/>
    <w:link w:val="126"/>
    <w:qFormat/>
    <w:uiPriority w:val="0"/>
    <w:pPr>
      <w:snapToGrid w:val="0"/>
      <w:jc w:val="left"/>
    </w:pPr>
  </w:style>
  <w:style w:type="paragraph" w:styleId="53">
    <w:name w:val="List Continue 5"/>
    <w:basedOn w:val="1"/>
    <w:qFormat/>
    <w:uiPriority w:val="0"/>
    <w:pPr>
      <w:spacing w:after="120"/>
      <w:ind w:left="2100" w:leftChars="1000"/>
      <w:contextualSpacing/>
    </w:pPr>
  </w:style>
  <w:style w:type="paragraph" w:styleId="54">
    <w:name w:val="Balloon Text"/>
    <w:basedOn w:val="1"/>
    <w:link w:val="120"/>
    <w:semiHidden/>
    <w:unhideWhenUsed/>
    <w:qFormat/>
    <w:uiPriority w:val="0"/>
    <w:rPr>
      <w:sz w:val="18"/>
      <w:szCs w:val="18"/>
    </w:rPr>
  </w:style>
  <w:style w:type="paragraph" w:styleId="55">
    <w:name w:val="footer"/>
    <w:basedOn w:val="1"/>
    <w:qFormat/>
    <w:uiPriority w:val="0"/>
    <w:pPr>
      <w:tabs>
        <w:tab w:val="center" w:pos="4153"/>
        <w:tab w:val="right" w:pos="8306"/>
      </w:tabs>
      <w:snapToGrid w:val="0"/>
      <w:jc w:val="left"/>
    </w:pPr>
    <w:rPr>
      <w:sz w:val="18"/>
    </w:rPr>
  </w:style>
  <w:style w:type="paragraph" w:styleId="56">
    <w:name w:val="envelope return"/>
    <w:basedOn w:val="1"/>
    <w:qFormat/>
    <w:uiPriority w:val="0"/>
    <w:pPr>
      <w:snapToGrid w:val="0"/>
    </w:pPr>
    <w:rPr>
      <w:rFonts w:asciiTheme="majorHAnsi" w:hAnsiTheme="majorHAnsi" w:eastAsiaTheme="majorEastAsia" w:cstheme="majorBidi"/>
    </w:rPr>
  </w:style>
  <w:style w:type="paragraph" w:styleId="5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8">
    <w:name w:val="Signature"/>
    <w:basedOn w:val="1"/>
    <w:link w:val="123"/>
    <w:qFormat/>
    <w:uiPriority w:val="0"/>
    <w:pPr>
      <w:ind w:left="100" w:leftChars="2100"/>
    </w:pPr>
  </w:style>
  <w:style w:type="paragraph" w:styleId="59">
    <w:name w:val="toc 1"/>
    <w:basedOn w:val="1"/>
    <w:next w:val="1"/>
    <w:qFormat/>
    <w:uiPriority w:val="39"/>
  </w:style>
  <w:style w:type="paragraph" w:styleId="60">
    <w:name w:val="List Continue 4"/>
    <w:basedOn w:val="1"/>
    <w:qFormat/>
    <w:uiPriority w:val="0"/>
    <w:pPr>
      <w:spacing w:after="120"/>
      <w:ind w:left="1680" w:leftChars="800"/>
      <w:contextualSpacing/>
    </w:pPr>
  </w:style>
  <w:style w:type="paragraph" w:styleId="61">
    <w:name w:val="toc 4"/>
    <w:basedOn w:val="1"/>
    <w:next w:val="1"/>
    <w:qFormat/>
    <w:uiPriority w:val="0"/>
    <w:pPr>
      <w:ind w:left="1260" w:leftChars="600"/>
    </w:pPr>
  </w:style>
  <w:style w:type="paragraph" w:styleId="62">
    <w:name w:val="index heading"/>
    <w:basedOn w:val="1"/>
    <w:next w:val="63"/>
    <w:qFormat/>
    <w:uiPriority w:val="0"/>
    <w:rPr>
      <w:rFonts w:asciiTheme="majorHAnsi" w:hAnsiTheme="majorHAnsi" w:eastAsiaTheme="majorEastAsia" w:cstheme="majorBidi"/>
      <w:b/>
      <w:bCs/>
    </w:rPr>
  </w:style>
  <w:style w:type="paragraph" w:styleId="63">
    <w:name w:val="index 1"/>
    <w:basedOn w:val="1"/>
    <w:next w:val="1"/>
    <w:qFormat/>
    <w:uiPriority w:val="0"/>
  </w:style>
  <w:style w:type="paragraph" w:styleId="64">
    <w:name w:val="Subtitle"/>
    <w:basedOn w:val="1"/>
    <w:next w:val="1"/>
    <w:link w:val="114"/>
    <w:qFormat/>
    <w:uiPriority w:val="0"/>
    <w:pPr>
      <w:spacing w:before="240" w:after="60" w:line="312" w:lineRule="auto"/>
      <w:jc w:val="center"/>
      <w:outlineLvl w:val="1"/>
    </w:pPr>
    <w:rPr>
      <w:rFonts w:eastAsiaTheme="minorEastAsia"/>
      <w:b/>
      <w:bCs/>
      <w:kern w:val="28"/>
      <w:sz w:val="32"/>
      <w:szCs w:val="32"/>
    </w:rPr>
  </w:style>
  <w:style w:type="paragraph" w:styleId="65">
    <w:name w:val="List Number 5"/>
    <w:basedOn w:val="1"/>
    <w:qFormat/>
    <w:uiPriority w:val="0"/>
    <w:pPr>
      <w:numPr>
        <w:ilvl w:val="0"/>
        <w:numId w:val="10"/>
      </w:numPr>
      <w:contextualSpacing/>
    </w:pPr>
  </w:style>
  <w:style w:type="paragraph" w:styleId="66">
    <w:name w:val="List"/>
    <w:basedOn w:val="1"/>
    <w:qFormat/>
    <w:uiPriority w:val="0"/>
    <w:pPr>
      <w:ind w:left="200" w:hanging="200" w:hangingChars="200"/>
      <w:contextualSpacing/>
    </w:pPr>
  </w:style>
  <w:style w:type="paragraph" w:styleId="67">
    <w:name w:val="footnote text"/>
    <w:basedOn w:val="1"/>
    <w:link w:val="116"/>
    <w:qFormat/>
    <w:uiPriority w:val="0"/>
    <w:pPr>
      <w:snapToGrid w:val="0"/>
      <w:jc w:val="left"/>
    </w:pPr>
    <w:rPr>
      <w:sz w:val="18"/>
      <w:szCs w:val="18"/>
    </w:rPr>
  </w:style>
  <w:style w:type="paragraph" w:styleId="68">
    <w:name w:val="toc 6"/>
    <w:basedOn w:val="1"/>
    <w:next w:val="1"/>
    <w:qFormat/>
    <w:uiPriority w:val="0"/>
    <w:pPr>
      <w:ind w:left="2100" w:leftChars="1000"/>
    </w:pPr>
  </w:style>
  <w:style w:type="paragraph" w:styleId="69">
    <w:name w:val="List 5"/>
    <w:basedOn w:val="1"/>
    <w:qFormat/>
    <w:uiPriority w:val="0"/>
    <w:pPr>
      <w:ind w:left="100" w:leftChars="800" w:hanging="200" w:hangingChars="200"/>
      <w:contextualSpacing/>
    </w:pPr>
  </w:style>
  <w:style w:type="paragraph" w:styleId="70">
    <w:name w:val="Body Text Indent 3"/>
    <w:basedOn w:val="1"/>
    <w:link w:val="139"/>
    <w:qFormat/>
    <w:uiPriority w:val="0"/>
    <w:pPr>
      <w:spacing w:after="120"/>
      <w:ind w:left="420" w:leftChars="200"/>
    </w:pPr>
    <w:rPr>
      <w:sz w:val="16"/>
      <w:szCs w:val="16"/>
    </w:rPr>
  </w:style>
  <w:style w:type="paragraph" w:styleId="71">
    <w:name w:val="index 7"/>
    <w:basedOn w:val="1"/>
    <w:next w:val="1"/>
    <w:qFormat/>
    <w:uiPriority w:val="0"/>
    <w:pPr>
      <w:ind w:left="1200" w:leftChars="1200"/>
    </w:pPr>
  </w:style>
  <w:style w:type="paragraph" w:styleId="72">
    <w:name w:val="index 9"/>
    <w:basedOn w:val="1"/>
    <w:next w:val="1"/>
    <w:qFormat/>
    <w:uiPriority w:val="0"/>
    <w:pPr>
      <w:ind w:left="1600" w:leftChars="1600"/>
    </w:pPr>
  </w:style>
  <w:style w:type="paragraph" w:styleId="73">
    <w:name w:val="table of figures"/>
    <w:basedOn w:val="1"/>
    <w:next w:val="1"/>
    <w:qFormat/>
    <w:uiPriority w:val="0"/>
    <w:pPr>
      <w:ind w:left="200" w:leftChars="200" w:hanging="200" w:hangingChars="200"/>
    </w:pPr>
  </w:style>
  <w:style w:type="paragraph" w:styleId="74">
    <w:name w:val="toc 2"/>
    <w:basedOn w:val="1"/>
    <w:next w:val="1"/>
    <w:qFormat/>
    <w:uiPriority w:val="39"/>
    <w:pPr>
      <w:ind w:left="420" w:leftChars="200"/>
    </w:pPr>
  </w:style>
  <w:style w:type="paragraph" w:styleId="75">
    <w:name w:val="toc 9"/>
    <w:basedOn w:val="1"/>
    <w:next w:val="1"/>
    <w:qFormat/>
    <w:uiPriority w:val="0"/>
    <w:pPr>
      <w:ind w:left="3360" w:leftChars="1600"/>
    </w:pPr>
  </w:style>
  <w:style w:type="paragraph" w:styleId="76">
    <w:name w:val="Body Text 2"/>
    <w:basedOn w:val="1"/>
    <w:link w:val="136"/>
    <w:qFormat/>
    <w:uiPriority w:val="0"/>
    <w:pPr>
      <w:spacing w:after="120" w:line="480" w:lineRule="auto"/>
    </w:pPr>
  </w:style>
  <w:style w:type="paragraph" w:styleId="77">
    <w:name w:val="List 4"/>
    <w:basedOn w:val="1"/>
    <w:qFormat/>
    <w:uiPriority w:val="0"/>
    <w:pPr>
      <w:ind w:left="100" w:leftChars="600" w:hanging="200" w:hangingChars="200"/>
      <w:contextualSpacing/>
    </w:pPr>
  </w:style>
  <w:style w:type="paragraph" w:styleId="78">
    <w:name w:val="List Continue 2"/>
    <w:basedOn w:val="1"/>
    <w:qFormat/>
    <w:uiPriority w:val="0"/>
    <w:pPr>
      <w:spacing w:after="120"/>
      <w:ind w:left="840" w:leftChars="400"/>
      <w:contextualSpacing/>
    </w:pPr>
  </w:style>
  <w:style w:type="paragraph" w:styleId="79">
    <w:name w:val="Message Header"/>
    <w:basedOn w:val="1"/>
    <w:link w:val="129"/>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Theme="majorHAnsi" w:hAnsiTheme="majorHAnsi" w:eastAsiaTheme="majorEastAsia" w:cstheme="majorBidi"/>
      <w:sz w:val="24"/>
      <w:szCs w:val="24"/>
    </w:rPr>
  </w:style>
  <w:style w:type="paragraph" w:styleId="80">
    <w:name w:val="HTML Preformatted"/>
    <w:basedOn w:val="1"/>
    <w:link w:val="100"/>
    <w:qFormat/>
    <w:uiPriority w:val="0"/>
    <w:rPr>
      <w:rFonts w:ascii="Courier New" w:hAnsi="Courier New" w:cs="Courier New"/>
      <w:sz w:val="20"/>
      <w:szCs w:val="20"/>
    </w:rPr>
  </w:style>
  <w:style w:type="paragraph" w:styleId="81">
    <w:name w:val="Normal (Web)"/>
    <w:basedOn w:val="1"/>
    <w:qFormat/>
    <w:uiPriority w:val="0"/>
    <w:rPr>
      <w:rFonts w:ascii="Times New Roman" w:hAnsi="Times New Roman" w:cs="Times New Roman"/>
      <w:sz w:val="24"/>
      <w:szCs w:val="24"/>
    </w:rPr>
  </w:style>
  <w:style w:type="paragraph" w:styleId="82">
    <w:name w:val="List Continue 3"/>
    <w:basedOn w:val="1"/>
    <w:qFormat/>
    <w:uiPriority w:val="0"/>
    <w:pPr>
      <w:spacing w:after="120"/>
      <w:ind w:left="1260" w:leftChars="600"/>
      <w:contextualSpacing/>
    </w:pPr>
  </w:style>
  <w:style w:type="paragraph" w:styleId="83">
    <w:name w:val="index 2"/>
    <w:basedOn w:val="1"/>
    <w:next w:val="1"/>
    <w:qFormat/>
    <w:uiPriority w:val="0"/>
    <w:pPr>
      <w:ind w:left="200" w:leftChars="200"/>
    </w:pPr>
  </w:style>
  <w:style w:type="paragraph" w:styleId="84">
    <w:name w:val="Title"/>
    <w:basedOn w:val="1"/>
    <w:next w:val="1"/>
    <w:link w:val="102"/>
    <w:qFormat/>
    <w:uiPriority w:val="0"/>
    <w:pPr>
      <w:spacing w:before="240" w:after="60"/>
      <w:jc w:val="center"/>
      <w:outlineLvl w:val="0"/>
    </w:pPr>
    <w:rPr>
      <w:rFonts w:asciiTheme="majorHAnsi" w:hAnsiTheme="majorHAnsi" w:eastAsiaTheme="majorEastAsia" w:cstheme="majorBidi"/>
      <w:b/>
      <w:bCs/>
      <w:sz w:val="32"/>
      <w:szCs w:val="32"/>
    </w:rPr>
  </w:style>
  <w:style w:type="paragraph" w:styleId="85">
    <w:name w:val="annotation subject"/>
    <w:basedOn w:val="28"/>
    <w:next w:val="28"/>
    <w:link w:val="122"/>
    <w:semiHidden/>
    <w:unhideWhenUsed/>
    <w:qFormat/>
    <w:uiPriority w:val="0"/>
    <w:rPr>
      <w:b/>
      <w:bCs/>
    </w:rPr>
  </w:style>
  <w:style w:type="paragraph" w:styleId="86">
    <w:name w:val="Body Text First Indent"/>
    <w:basedOn w:val="34"/>
    <w:link w:val="133"/>
    <w:qFormat/>
    <w:uiPriority w:val="0"/>
    <w:pPr>
      <w:ind w:firstLine="420" w:firstLineChars="100"/>
    </w:pPr>
  </w:style>
  <w:style w:type="paragraph" w:styleId="87">
    <w:name w:val="Body Text First Indent 2"/>
    <w:basedOn w:val="35"/>
    <w:link w:val="135"/>
    <w:qFormat/>
    <w:uiPriority w:val="0"/>
    <w:pPr>
      <w:ind w:firstLine="420" w:firstLineChars="200"/>
    </w:pPr>
  </w:style>
  <w:style w:type="table" w:styleId="89">
    <w:name w:val="Table Grid"/>
    <w:basedOn w:val="88"/>
    <w:unhideWhenUse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1">
    <w:name w:val="FollowedHyperlink"/>
    <w:basedOn w:val="90"/>
    <w:qFormat/>
    <w:uiPriority w:val="0"/>
    <w:rPr>
      <w:color w:val="954F72" w:themeColor="followedHyperlink"/>
      <w:u w:val="single"/>
      <w14:textFill>
        <w14:solidFill>
          <w14:schemeClr w14:val="folHlink"/>
        </w14:solidFill>
      </w14:textFill>
    </w:rPr>
  </w:style>
  <w:style w:type="character" w:styleId="92">
    <w:name w:val="Hyperlink"/>
    <w:basedOn w:val="90"/>
    <w:qFormat/>
    <w:uiPriority w:val="99"/>
    <w:rPr>
      <w:color w:val="0563C1" w:themeColor="hyperlink"/>
      <w:u w:val="single"/>
      <w14:textFill>
        <w14:solidFill>
          <w14:schemeClr w14:val="hlink"/>
        </w14:solidFill>
      </w14:textFill>
    </w:rPr>
  </w:style>
  <w:style w:type="paragraph" w:customStyle="1" w:styleId="93">
    <w:name w:val="paragraph"/>
    <w:basedOn w:val="1"/>
    <w:qFormat/>
    <w:uiPriority w:val="0"/>
    <w:pPr>
      <w:widowControl/>
      <w:spacing w:before="100" w:beforeAutospacing="1" w:after="100" w:afterAutospacing="1"/>
      <w:jc w:val="left"/>
    </w:pPr>
    <w:rPr>
      <w:rFonts w:ascii="宋体" w:hAnsi="宋体" w:cs="宋体"/>
      <w:kern w:val="0"/>
      <w:sz w:val="24"/>
      <w:szCs w:val="24"/>
    </w:rPr>
  </w:style>
  <w:style w:type="paragraph" w:styleId="94">
    <w:name w:val="List Paragraph"/>
    <w:basedOn w:val="1"/>
    <w:qFormat/>
    <w:uiPriority w:val="99"/>
    <w:pPr>
      <w:ind w:firstLine="420" w:firstLineChars="200"/>
    </w:pPr>
  </w:style>
  <w:style w:type="paragraph" w:customStyle="1" w:styleId="95">
    <w:name w:val="WPSOffice手动目录 1"/>
    <w:qFormat/>
    <w:uiPriority w:val="0"/>
    <w:rPr>
      <w:rFonts w:ascii="Times New Roman" w:hAnsi="Times New Roman" w:eastAsia="宋体" w:cs="Times New Roman"/>
      <w:lang w:val="en-US" w:eastAsia="zh-CN" w:bidi="ar-SA"/>
    </w:rPr>
  </w:style>
  <w:style w:type="paragraph" w:customStyle="1" w:styleId="96">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97">
    <w:name w:val="标题 1 字符"/>
    <w:basedOn w:val="90"/>
    <w:link w:val="3"/>
    <w:qFormat/>
    <w:uiPriority w:val="0"/>
    <w:rPr>
      <w:rFonts w:asciiTheme="minorHAnsi" w:hAnsiTheme="minorHAnsi" w:cstheme="minorBidi"/>
      <w:b/>
      <w:bCs/>
      <w:kern w:val="44"/>
      <w:sz w:val="44"/>
      <w:szCs w:val="44"/>
    </w:rPr>
  </w:style>
  <w:style w:type="paragraph" w:customStyle="1" w:styleId="98">
    <w:name w:val="TOC 标题1"/>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99">
    <w:name w:val="HTML 地址 字符"/>
    <w:basedOn w:val="90"/>
    <w:link w:val="41"/>
    <w:qFormat/>
    <w:uiPriority w:val="0"/>
    <w:rPr>
      <w:rFonts w:asciiTheme="minorHAnsi" w:hAnsiTheme="minorHAnsi" w:cstheme="minorBidi"/>
      <w:i/>
      <w:iCs/>
      <w:kern w:val="2"/>
      <w:sz w:val="21"/>
      <w:szCs w:val="21"/>
    </w:rPr>
  </w:style>
  <w:style w:type="character" w:customStyle="1" w:styleId="100">
    <w:name w:val="HTML 预设格式 字符"/>
    <w:basedOn w:val="90"/>
    <w:link w:val="80"/>
    <w:qFormat/>
    <w:uiPriority w:val="0"/>
    <w:rPr>
      <w:rFonts w:ascii="Courier New" w:hAnsi="Courier New" w:cs="Courier New"/>
      <w:kern w:val="2"/>
    </w:rPr>
  </w:style>
  <w:style w:type="paragraph" w:customStyle="1" w:styleId="101">
    <w:name w:val="TOC Heading"/>
    <w:basedOn w:val="3"/>
    <w:next w:val="1"/>
    <w:semiHidden/>
    <w:unhideWhenUsed/>
    <w:qFormat/>
    <w:uiPriority w:val="39"/>
    <w:pPr>
      <w:outlineLvl w:val="9"/>
    </w:pPr>
  </w:style>
  <w:style w:type="character" w:customStyle="1" w:styleId="102">
    <w:name w:val="标题 字符"/>
    <w:basedOn w:val="90"/>
    <w:link w:val="84"/>
    <w:qFormat/>
    <w:uiPriority w:val="0"/>
    <w:rPr>
      <w:rFonts w:asciiTheme="majorHAnsi" w:hAnsiTheme="majorHAnsi" w:eastAsiaTheme="majorEastAsia" w:cstheme="majorBidi"/>
      <w:b/>
      <w:bCs/>
      <w:kern w:val="2"/>
      <w:sz w:val="32"/>
      <w:szCs w:val="32"/>
    </w:rPr>
  </w:style>
  <w:style w:type="character" w:customStyle="1" w:styleId="103">
    <w:name w:val="标题 2 字符"/>
    <w:basedOn w:val="90"/>
    <w:link w:val="4"/>
    <w:semiHidden/>
    <w:qFormat/>
    <w:uiPriority w:val="0"/>
    <w:rPr>
      <w:rFonts w:asciiTheme="majorHAnsi" w:hAnsiTheme="majorHAnsi" w:eastAsiaTheme="majorEastAsia" w:cstheme="majorBidi"/>
      <w:b/>
      <w:bCs/>
      <w:kern w:val="2"/>
      <w:sz w:val="32"/>
      <w:szCs w:val="32"/>
    </w:rPr>
  </w:style>
  <w:style w:type="character" w:customStyle="1" w:styleId="104">
    <w:name w:val="标题 3 字符"/>
    <w:basedOn w:val="90"/>
    <w:link w:val="5"/>
    <w:semiHidden/>
    <w:qFormat/>
    <w:uiPriority w:val="0"/>
    <w:rPr>
      <w:rFonts w:asciiTheme="minorHAnsi" w:hAnsiTheme="minorHAnsi" w:cstheme="minorBidi"/>
      <w:b/>
      <w:bCs/>
      <w:kern w:val="2"/>
      <w:sz w:val="32"/>
      <w:szCs w:val="32"/>
    </w:rPr>
  </w:style>
  <w:style w:type="character" w:customStyle="1" w:styleId="105">
    <w:name w:val="标题 4 字符"/>
    <w:basedOn w:val="90"/>
    <w:link w:val="6"/>
    <w:semiHidden/>
    <w:qFormat/>
    <w:uiPriority w:val="0"/>
    <w:rPr>
      <w:rFonts w:asciiTheme="majorHAnsi" w:hAnsiTheme="majorHAnsi" w:eastAsiaTheme="majorEastAsia" w:cstheme="majorBidi"/>
      <w:b/>
      <w:bCs/>
      <w:kern w:val="2"/>
      <w:sz w:val="28"/>
      <w:szCs w:val="28"/>
    </w:rPr>
  </w:style>
  <w:style w:type="character" w:customStyle="1" w:styleId="106">
    <w:name w:val="标题 5 字符"/>
    <w:basedOn w:val="90"/>
    <w:link w:val="7"/>
    <w:semiHidden/>
    <w:qFormat/>
    <w:uiPriority w:val="0"/>
    <w:rPr>
      <w:rFonts w:asciiTheme="minorHAnsi" w:hAnsiTheme="minorHAnsi" w:cstheme="minorBidi"/>
      <w:b/>
      <w:bCs/>
      <w:kern w:val="2"/>
      <w:sz w:val="28"/>
      <w:szCs w:val="28"/>
    </w:rPr>
  </w:style>
  <w:style w:type="character" w:customStyle="1" w:styleId="107">
    <w:name w:val="标题 6 字符"/>
    <w:basedOn w:val="90"/>
    <w:link w:val="8"/>
    <w:semiHidden/>
    <w:qFormat/>
    <w:uiPriority w:val="0"/>
    <w:rPr>
      <w:rFonts w:asciiTheme="majorHAnsi" w:hAnsiTheme="majorHAnsi" w:eastAsiaTheme="majorEastAsia" w:cstheme="majorBidi"/>
      <w:b/>
      <w:bCs/>
      <w:kern w:val="2"/>
      <w:sz w:val="24"/>
      <w:szCs w:val="24"/>
    </w:rPr>
  </w:style>
  <w:style w:type="character" w:customStyle="1" w:styleId="108">
    <w:name w:val="标题 7 字符"/>
    <w:basedOn w:val="90"/>
    <w:link w:val="9"/>
    <w:semiHidden/>
    <w:qFormat/>
    <w:uiPriority w:val="0"/>
    <w:rPr>
      <w:rFonts w:asciiTheme="minorHAnsi" w:hAnsiTheme="minorHAnsi" w:cstheme="minorBidi"/>
      <w:b/>
      <w:bCs/>
      <w:kern w:val="2"/>
      <w:sz w:val="24"/>
      <w:szCs w:val="24"/>
    </w:rPr>
  </w:style>
  <w:style w:type="character" w:customStyle="1" w:styleId="109">
    <w:name w:val="标题 8 字符"/>
    <w:basedOn w:val="90"/>
    <w:link w:val="10"/>
    <w:semiHidden/>
    <w:qFormat/>
    <w:uiPriority w:val="0"/>
    <w:rPr>
      <w:rFonts w:asciiTheme="majorHAnsi" w:hAnsiTheme="majorHAnsi" w:eastAsiaTheme="majorEastAsia" w:cstheme="majorBidi"/>
      <w:kern w:val="2"/>
      <w:sz w:val="24"/>
      <w:szCs w:val="24"/>
    </w:rPr>
  </w:style>
  <w:style w:type="character" w:customStyle="1" w:styleId="110">
    <w:name w:val="标题 9 字符"/>
    <w:basedOn w:val="90"/>
    <w:link w:val="11"/>
    <w:semiHidden/>
    <w:qFormat/>
    <w:uiPriority w:val="0"/>
    <w:rPr>
      <w:rFonts w:asciiTheme="majorHAnsi" w:hAnsiTheme="majorHAnsi" w:eastAsiaTheme="majorEastAsia" w:cstheme="majorBidi"/>
      <w:kern w:val="2"/>
      <w:sz w:val="21"/>
      <w:szCs w:val="21"/>
    </w:rPr>
  </w:style>
  <w:style w:type="character" w:customStyle="1" w:styleId="111">
    <w:name w:val="称呼 字符"/>
    <w:basedOn w:val="90"/>
    <w:link w:val="30"/>
    <w:qFormat/>
    <w:uiPriority w:val="0"/>
    <w:rPr>
      <w:rFonts w:asciiTheme="minorHAnsi" w:hAnsiTheme="minorHAnsi" w:cstheme="minorBidi"/>
      <w:kern w:val="2"/>
      <w:sz w:val="21"/>
      <w:szCs w:val="21"/>
    </w:rPr>
  </w:style>
  <w:style w:type="character" w:customStyle="1" w:styleId="112">
    <w:name w:val="纯文本 字符"/>
    <w:basedOn w:val="90"/>
    <w:link w:val="45"/>
    <w:qFormat/>
    <w:uiPriority w:val="0"/>
    <w:rPr>
      <w:rFonts w:hAnsi="Courier New" w:cs="Courier New" w:asciiTheme="minorEastAsia" w:eastAsiaTheme="minorEastAsia"/>
      <w:kern w:val="2"/>
      <w:sz w:val="21"/>
      <w:szCs w:val="21"/>
    </w:rPr>
  </w:style>
  <w:style w:type="character" w:customStyle="1" w:styleId="113">
    <w:name w:val="电子邮件签名 字符"/>
    <w:basedOn w:val="90"/>
    <w:link w:val="19"/>
    <w:qFormat/>
    <w:uiPriority w:val="0"/>
    <w:rPr>
      <w:rFonts w:asciiTheme="minorHAnsi" w:hAnsiTheme="minorHAnsi" w:cstheme="minorBidi"/>
      <w:kern w:val="2"/>
      <w:sz w:val="21"/>
      <w:szCs w:val="21"/>
    </w:rPr>
  </w:style>
  <w:style w:type="character" w:customStyle="1" w:styleId="114">
    <w:name w:val="副标题 字符"/>
    <w:basedOn w:val="90"/>
    <w:link w:val="64"/>
    <w:qFormat/>
    <w:uiPriority w:val="0"/>
    <w:rPr>
      <w:rFonts w:asciiTheme="minorHAnsi" w:hAnsiTheme="minorHAnsi" w:eastAsiaTheme="minorEastAsia" w:cstheme="minorBidi"/>
      <w:b/>
      <w:bCs/>
      <w:kern w:val="28"/>
      <w:sz w:val="32"/>
      <w:szCs w:val="32"/>
    </w:rPr>
  </w:style>
  <w:style w:type="character" w:customStyle="1" w:styleId="115">
    <w:name w:val="宏文本 字符"/>
    <w:basedOn w:val="90"/>
    <w:link w:val="2"/>
    <w:qFormat/>
    <w:uiPriority w:val="0"/>
    <w:rPr>
      <w:rFonts w:ascii="Courier New" w:hAnsi="Courier New" w:cs="Courier New"/>
      <w:kern w:val="2"/>
      <w:sz w:val="24"/>
      <w:szCs w:val="24"/>
    </w:rPr>
  </w:style>
  <w:style w:type="character" w:customStyle="1" w:styleId="116">
    <w:name w:val="脚注文本 字符"/>
    <w:basedOn w:val="90"/>
    <w:link w:val="67"/>
    <w:qFormat/>
    <w:uiPriority w:val="0"/>
    <w:rPr>
      <w:rFonts w:asciiTheme="minorHAnsi" w:hAnsiTheme="minorHAnsi" w:cstheme="minorBidi"/>
      <w:kern w:val="2"/>
      <w:sz w:val="18"/>
      <w:szCs w:val="18"/>
    </w:rPr>
  </w:style>
  <w:style w:type="character" w:customStyle="1" w:styleId="117">
    <w:name w:val="结束语 字符"/>
    <w:basedOn w:val="90"/>
    <w:link w:val="32"/>
    <w:qFormat/>
    <w:uiPriority w:val="0"/>
    <w:rPr>
      <w:rFonts w:asciiTheme="minorHAnsi" w:hAnsiTheme="minorHAnsi" w:cstheme="minorBidi"/>
      <w:kern w:val="2"/>
      <w:sz w:val="21"/>
      <w:szCs w:val="21"/>
    </w:rPr>
  </w:style>
  <w:style w:type="paragraph" w:styleId="118">
    <w:name w:val="Intense Quote"/>
    <w:basedOn w:val="1"/>
    <w:next w:val="1"/>
    <w:link w:val="119"/>
    <w:qFormat/>
    <w:uiPriority w:val="99"/>
    <w:pPr>
      <w:pBdr>
        <w:top w:val="single" w:color="5B9BD5" w:themeColor="accent1" w:sz="4" w:space="10"/>
        <w:bottom w:val="single" w:color="5B9BD5" w:themeColor="accent1" w:sz="4" w:space="10"/>
      </w:pBdr>
      <w:spacing w:before="360" w:after="360"/>
      <w:ind w:left="864" w:right="864"/>
      <w:jc w:val="center"/>
    </w:pPr>
    <w:rPr>
      <w:i/>
      <w:iCs/>
      <w:color w:val="5B9BD5" w:themeColor="accent1"/>
      <w14:textFill>
        <w14:solidFill>
          <w14:schemeClr w14:val="accent1"/>
        </w14:solidFill>
      </w14:textFill>
    </w:rPr>
  </w:style>
  <w:style w:type="character" w:customStyle="1" w:styleId="119">
    <w:name w:val="明显引用 字符"/>
    <w:basedOn w:val="90"/>
    <w:link w:val="118"/>
    <w:qFormat/>
    <w:uiPriority w:val="99"/>
    <w:rPr>
      <w:rFonts w:asciiTheme="minorHAnsi" w:hAnsiTheme="minorHAnsi" w:cstheme="minorBidi"/>
      <w:i/>
      <w:iCs/>
      <w:color w:val="5B9BD5" w:themeColor="accent1"/>
      <w:kern w:val="2"/>
      <w:sz w:val="21"/>
      <w:szCs w:val="21"/>
      <w14:textFill>
        <w14:solidFill>
          <w14:schemeClr w14:val="accent1"/>
        </w14:solidFill>
      </w14:textFill>
    </w:rPr>
  </w:style>
  <w:style w:type="character" w:customStyle="1" w:styleId="120">
    <w:name w:val="批注框文本 字符"/>
    <w:basedOn w:val="90"/>
    <w:link w:val="54"/>
    <w:semiHidden/>
    <w:qFormat/>
    <w:uiPriority w:val="0"/>
    <w:rPr>
      <w:rFonts w:asciiTheme="minorHAnsi" w:hAnsiTheme="minorHAnsi" w:cstheme="minorBidi"/>
      <w:kern w:val="2"/>
      <w:sz w:val="18"/>
      <w:szCs w:val="18"/>
    </w:rPr>
  </w:style>
  <w:style w:type="character" w:customStyle="1" w:styleId="121">
    <w:name w:val="批注文字 字符"/>
    <w:basedOn w:val="90"/>
    <w:link w:val="28"/>
    <w:qFormat/>
    <w:uiPriority w:val="0"/>
    <w:rPr>
      <w:rFonts w:asciiTheme="minorHAnsi" w:hAnsiTheme="minorHAnsi" w:cstheme="minorBidi"/>
      <w:kern w:val="2"/>
      <w:sz w:val="21"/>
      <w:szCs w:val="21"/>
    </w:rPr>
  </w:style>
  <w:style w:type="character" w:customStyle="1" w:styleId="122">
    <w:name w:val="批注主题 字符"/>
    <w:basedOn w:val="121"/>
    <w:link w:val="85"/>
    <w:semiHidden/>
    <w:qFormat/>
    <w:uiPriority w:val="0"/>
    <w:rPr>
      <w:rFonts w:asciiTheme="minorHAnsi" w:hAnsiTheme="minorHAnsi" w:cstheme="minorBidi"/>
      <w:b/>
      <w:bCs/>
      <w:kern w:val="2"/>
      <w:sz w:val="21"/>
      <w:szCs w:val="21"/>
    </w:rPr>
  </w:style>
  <w:style w:type="character" w:customStyle="1" w:styleId="123">
    <w:name w:val="签名 字符"/>
    <w:basedOn w:val="90"/>
    <w:link w:val="58"/>
    <w:qFormat/>
    <w:uiPriority w:val="0"/>
    <w:rPr>
      <w:rFonts w:asciiTheme="minorHAnsi" w:hAnsiTheme="minorHAnsi" w:cstheme="minorBidi"/>
      <w:kern w:val="2"/>
      <w:sz w:val="21"/>
      <w:szCs w:val="21"/>
    </w:rPr>
  </w:style>
  <w:style w:type="character" w:customStyle="1" w:styleId="124">
    <w:name w:val="日期 字符"/>
    <w:basedOn w:val="90"/>
    <w:link w:val="50"/>
    <w:qFormat/>
    <w:uiPriority w:val="0"/>
    <w:rPr>
      <w:rFonts w:asciiTheme="minorHAnsi" w:hAnsiTheme="minorHAnsi" w:cstheme="minorBidi"/>
      <w:kern w:val="2"/>
      <w:sz w:val="21"/>
      <w:szCs w:val="21"/>
    </w:rPr>
  </w:style>
  <w:style w:type="paragraph" w:customStyle="1" w:styleId="125">
    <w:name w:val="Bibliography"/>
    <w:basedOn w:val="1"/>
    <w:next w:val="1"/>
    <w:semiHidden/>
    <w:unhideWhenUsed/>
    <w:qFormat/>
    <w:uiPriority w:val="37"/>
  </w:style>
  <w:style w:type="character" w:customStyle="1" w:styleId="126">
    <w:name w:val="尾注文本 字符"/>
    <w:basedOn w:val="90"/>
    <w:link w:val="52"/>
    <w:qFormat/>
    <w:uiPriority w:val="0"/>
    <w:rPr>
      <w:rFonts w:asciiTheme="minorHAnsi" w:hAnsiTheme="minorHAnsi" w:cstheme="minorBidi"/>
      <w:kern w:val="2"/>
      <w:sz w:val="21"/>
      <w:szCs w:val="21"/>
    </w:rPr>
  </w:style>
  <w:style w:type="character" w:customStyle="1" w:styleId="127">
    <w:name w:val="文档结构图 字符"/>
    <w:basedOn w:val="90"/>
    <w:link w:val="26"/>
    <w:qFormat/>
    <w:uiPriority w:val="0"/>
    <w:rPr>
      <w:rFonts w:ascii="Microsoft YaHei UI" w:eastAsia="Microsoft YaHei UI" w:hAnsiTheme="minorHAnsi" w:cstheme="minorBidi"/>
      <w:kern w:val="2"/>
      <w:sz w:val="18"/>
      <w:szCs w:val="18"/>
    </w:rPr>
  </w:style>
  <w:style w:type="paragraph" w:styleId="128">
    <w:name w:val="No Spacing"/>
    <w:qFormat/>
    <w:uiPriority w:val="99"/>
    <w:pPr>
      <w:widowControl w:val="0"/>
      <w:jc w:val="both"/>
    </w:pPr>
    <w:rPr>
      <w:rFonts w:eastAsia="宋体" w:asciiTheme="minorHAnsi" w:hAnsiTheme="minorHAnsi" w:cstheme="minorBidi"/>
      <w:kern w:val="2"/>
      <w:sz w:val="21"/>
      <w:szCs w:val="21"/>
      <w:lang w:val="en-US" w:eastAsia="zh-CN" w:bidi="ar-SA"/>
    </w:rPr>
  </w:style>
  <w:style w:type="character" w:customStyle="1" w:styleId="129">
    <w:name w:val="信息标题 字符"/>
    <w:basedOn w:val="90"/>
    <w:link w:val="79"/>
    <w:qFormat/>
    <w:uiPriority w:val="0"/>
    <w:rPr>
      <w:rFonts w:asciiTheme="majorHAnsi" w:hAnsiTheme="majorHAnsi" w:eastAsiaTheme="majorEastAsia" w:cstheme="majorBidi"/>
      <w:kern w:val="2"/>
      <w:sz w:val="24"/>
      <w:szCs w:val="24"/>
      <w:shd w:val="pct20" w:color="auto" w:fill="auto"/>
    </w:rPr>
  </w:style>
  <w:style w:type="paragraph" w:styleId="130">
    <w:name w:val="Quote"/>
    <w:basedOn w:val="1"/>
    <w:next w:val="1"/>
    <w:link w:val="131"/>
    <w:qFormat/>
    <w:uiPriority w:val="9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131">
    <w:name w:val="引用 字符"/>
    <w:basedOn w:val="90"/>
    <w:link w:val="130"/>
    <w:qFormat/>
    <w:uiPriority w:val="99"/>
    <w:rPr>
      <w:rFonts w:asciiTheme="minorHAnsi" w:hAnsiTheme="minorHAnsi" w:cstheme="minorBidi"/>
      <w:i/>
      <w:iCs/>
      <w:color w:val="404040" w:themeColor="text1" w:themeTint="BF"/>
      <w:kern w:val="2"/>
      <w:sz w:val="21"/>
      <w:szCs w:val="21"/>
      <w14:textFill>
        <w14:solidFill>
          <w14:schemeClr w14:val="tx1">
            <w14:lumMod w14:val="75000"/>
            <w14:lumOff w14:val="25000"/>
          </w14:schemeClr>
        </w14:solidFill>
      </w14:textFill>
    </w:rPr>
  </w:style>
  <w:style w:type="character" w:customStyle="1" w:styleId="132">
    <w:name w:val="正文文本 字符"/>
    <w:basedOn w:val="90"/>
    <w:link w:val="34"/>
    <w:qFormat/>
    <w:uiPriority w:val="0"/>
    <w:rPr>
      <w:rFonts w:asciiTheme="minorHAnsi" w:hAnsiTheme="minorHAnsi" w:cstheme="minorBidi"/>
      <w:kern w:val="2"/>
      <w:sz w:val="21"/>
      <w:szCs w:val="21"/>
    </w:rPr>
  </w:style>
  <w:style w:type="character" w:customStyle="1" w:styleId="133">
    <w:name w:val="正文首行缩进 字符"/>
    <w:basedOn w:val="132"/>
    <w:link w:val="86"/>
    <w:qFormat/>
    <w:uiPriority w:val="0"/>
    <w:rPr>
      <w:rFonts w:asciiTheme="minorHAnsi" w:hAnsiTheme="minorHAnsi" w:cstheme="minorBidi"/>
      <w:kern w:val="2"/>
      <w:sz w:val="21"/>
      <w:szCs w:val="21"/>
    </w:rPr>
  </w:style>
  <w:style w:type="character" w:customStyle="1" w:styleId="134">
    <w:name w:val="正文文本缩进 字符"/>
    <w:basedOn w:val="90"/>
    <w:link w:val="35"/>
    <w:qFormat/>
    <w:uiPriority w:val="0"/>
    <w:rPr>
      <w:rFonts w:asciiTheme="minorHAnsi" w:hAnsiTheme="minorHAnsi" w:cstheme="minorBidi"/>
      <w:kern w:val="2"/>
      <w:sz w:val="21"/>
      <w:szCs w:val="21"/>
    </w:rPr>
  </w:style>
  <w:style w:type="character" w:customStyle="1" w:styleId="135">
    <w:name w:val="正文首行缩进 2 字符"/>
    <w:basedOn w:val="134"/>
    <w:link w:val="87"/>
    <w:qFormat/>
    <w:uiPriority w:val="0"/>
    <w:rPr>
      <w:rFonts w:asciiTheme="minorHAnsi" w:hAnsiTheme="minorHAnsi" w:cstheme="minorBidi"/>
      <w:kern w:val="2"/>
      <w:sz w:val="21"/>
      <w:szCs w:val="21"/>
    </w:rPr>
  </w:style>
  <w:style w:type="character" w:customStyle="1" w:styleId="136">
    <w:name w:val="正文文本 2 字符"/>
    <w:basedOn w:val="90"/>
    <w:link w:val="76"/>
    <w:qFormat/>
    <w:uiPriority w:val="0"/>
    <w:rPr>
      <w:rFonts w:asciiTheme="minorHAnsi" w:hAnsiTheme="minorHAnsi" w:cstheme="minorBidi"/>
      <w:kern w:val="2"/>
      <w:sz w:val="21"/>
      <w:szCs w:val="21"/>
    </w:rPr>
  </w:style>
  <w:style w:type="character" w:customStyle="1" w:styleId="137">
    <w:name w:val="正文文本 3 字符"/>
    <w:basedOn w:val="90"/>
    <w:link w:val="31"/>
    <w:qFormat/>
    <w:uiPriority w:val="0"/>
    <w:rPr>
      <w:rFonts w:asciiTheme="minorHAnsi" w:hAnsiTheme="minorHAnsi" w:cstheme="minorBidi"/>
      <w:kern w:val="2"/>
      <w:sz w:val="16"/>
      <w:szCs w:val="16"/>
    </w:rPr>
  </w:style>
  <w:style w:type="character" w:customStyle="1" w:styleId="138">
    <w:name w:val="正文文本缩进 2 字符"/>
    <w:basedOn w:val="90"/>
    <w:link w:val="51"/>
    <w:qFormat/>
    <w:uiPriority w:val="0"/>
    <w:rPr>
      <w:rFonts w:asciiTheme="minorHAnsi" w:hAnsiTheme="minorHAnsi" w:cstheme="minorBidi"/>
      <w:kern w:val="2"/>
      <w:sz w:val="21"/>
      <w:szCs w:val="21"/>
    </w:rPr>
  </w:style>
  <w:style w:type="character" w:customStyle="1" w:styleId="139">
    <w:name w:val="正文文本缩进 3 字符"/>
    <w:basedOn w:val="90"/>
    <w:link w:val="70"/>
    <w:qFormat/>
    <w:uiPriority w:val="0"/>
    <w:rPr>
      <w:rFonts w:asciiTheme="minorHAnsi" w:hAnsiTheme="minorHAnsi" w:cstheme="minorBidi"/>
      <w:kern w:val="2"/>
      <w:sz w:val="16"/>
      <w:szCs w:val="16"/>
    </w:rPr>
  </w:style>
  <w:style w:type="character" w:customStyle="1" w:styleId="140">
    <w:name w:val="注释标题 字符"/>
    <w:basedOn w:val="90"/>
    <w:link w:val="16"/>
    <w:qFormat/>
    <w:uiPriority w:val="0"/>
    <w:rPr>
      <w:rFonts w:asciiTheme="minorHAnsi" w:hAnsiTheme="minorHAnsi" w:cstheme="minorBidi"/>
      <w:kern w:val="2"/>
      <w:sz w:val="21"/>
      <w:szCs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ABB62F3-7168-4816-BD3F-CA0CD344F37D}">
  <ds:schemaRefs/>
</ds:datastoreItem>
</file>

<file path=docProps/app.xml><?xml version="1.0" encoding="utf-8"?>
<Properties xmlns="http://schemas.openxmlformats.org/officeDocument/2006/extended-properties" xmlns:vt="http://schemas.openxmlformats.org/officeDocument/2006/docPropsVTypes">
  <Template>Normal</Template>
  <Pages>10</Pages>
  <Words>1699</Words>
  <Characters>9686</Characters>
  <Lines>80</Lines>
  <Paragraphs>22</Paragraphs>
  <TotalTime>15</TotalTime>
  <ScaleCrop>false</ScaleCrop>
  <LinksUpToDate>false</LinksUpToDate>
  <CharactersWithSpaces>11363</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2022-11-15T10:06:00Z</dcterms:created>
  <dc:creator>yanjiusuo</dc:creator>
  <cp:lastModifiedBy>yang.jiahong</cp:lastModifiedBy>
  <cp:lastPrinted>2023-06-08T02:23:00Z</cp:lastPrinted>
  <dcterms:modified xsi:type="dcterms:W3CDTF">2024-03-14T02:41:09Z</dcterms:modified>
  <cp:revision>158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88F59B570830480FBD960522A6F97CC7</vt:lpwstr>
  </property>
</Properties>
</file>