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_Toc19860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_Toc6624 </w:instrText>
          </w:r>
          <w:r>
            <w:rPr>
              <w:bCs/>
            </w:rPr>
            <w:fldChar w:fldCharType="separate"/>
          </w:r>
          <w:r>
            <w:rPr>
              <w:rFonts w:hint="eastAsia" w:ascii="Times New Roman" w:hAnsi="Times New Roman" w:eastAsia="楷体"/>
              <w:szCs w:val="24"/>
            </w:rPr>
            <w:t>股指：待盘整后低多</w:t>
          </w:r>
          <w:r>
            <w:rPr>
              <w:bCs/>
            </w:rPr>
            <w:fldChar w:fldCharType="end"/>
          </w:r>
        </w:p>
        <w:p>
          <w:pPr>
            <w:pStyle w:val="59"/>
            <w:tabs>
              <w:tab w:val="right" w:leader="dot" w:pos="8306"/>
            </w:tabs>
          </w:pPr>
          <w:r>
            <w:rPr>
              <w:bCs/>
            </w:rPr>
            <w:fldChar w:fldCharType="begin"/>
          </w:r>
          <w:r>
            <w:rPr>
              <w:bCs/>
            </w:rPr>
            <w:instrText xml:space="preserve"> HYPERLINK \l _Toc26688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_Toc4802 </w:instrText>
          </w:r>
          <w:r>
            <w:rPr>
              <w:bCs/>
            </w:rPr>
            <w:fldChar w:fldCharType="separate"/>
          </w:r>
          <w:r>
            <w:rPr>
              <w:rFonts w:hint="eastAsia" w:ascii="Times New Roman" w:hAnsi="Times New Roman" w:eastAsia="楷体"/>
              <w:szCs w:val="24"/>
            </w:rPr>
            <w:t>贵金属：美国CPI通胀略超预期，贵金属价格小幅回落</w:t>
          </w:r>
          <w:r>
            <w:rPr>
              <w:bCs/>
            </w:rPr>
            <w:fldChar w:fldCharType="end"/>
          </w:r>
        </w:p>
        <w:p>
          <w:pPr>
            <w:pStyle w:val="59"/>
            <w:tabs>
              <w:tab w:val="right" w:leader="dot" w:pos="8306"/>
            </w:tabs>
          </w:pPr>
          <w:r>
            <w:rPr>
              <w:bCs/>
            </w:rPr>
            <w:fldChar w:fldCharType="begin"/>
          </w:r>
          <w:r>
            <w:rPr>
              <w:bCs/>
            </w:rPr>
            <w:instrText xml:space="preserve"> HYPERLINK \l _Toc1035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_Toc2229 </w:instrText>
          </w:r>
          <w:r>
            <w:rPr>
              <w:bCs/>
            </w:rPr>
            <w:fldChar w:fldCharType="separate"/>
          </w:r>
          <w:r>
            <w:rPr>
              <w:rFonts w:hint="eastAsia" w:ascii="楷体" w:hAnsi="楷体" w:eastAsia="楷体"/>
              <w:szCs w:val="24"/>
            </w:rPr>
            <w:t>碳酸锂：二月动力电池装车量下降，期价维持上涨</w:t>
          </w:r>
          <w:r>
            <w:rPr>
              <w:bCs/>
            </w:rPr>
            <w:fldChar w:fldCharType="end"/>
          </w:r>
        </w:p>
        <w:p>
          <w:pPr>
            <w:pStyle w:val="74"/>
            <w:tabs>
              <w:tab w:val="right" w:leader="dot" w:pos="8306"/>
            </w:tabs>
          </w:pPr>
          <w:r>
            <w:rPr>
              <w:bCs/>
            </w:rPr>
            <w:fldChar w:fldCharType="begin"/>
          </w:r>
          <w:r>
            <w:rPr>
              <w:bCs/>
            </w:rPr>
            <w:instrText xml:space="preserve"> HYPERLINK \l _Toc12374 </w:instrText>
          </w:r>
          <w:r>
            <w:rPr>
              <w:bCs/>
            </w:rPr>
            <w:fldChar w:fldCharType="separate"/>
          </w:r>
          <w:r>
            <w:rPr>
              <w:rFonts w:hint="eastAsia" w:ascii="楷体" w:hAnsi="楷体" w:eastAsia="楷体"/>
              <w:szCs w:val="24"/>
            </w:rPr>
            <w:t>铜：短期维持高位运行</w:t>
          </w:r>
          <w:r>
            <w:rPr>
              <w:bCs/>
            </w:rPr>
            <w:fldChar w:fldCharType="end"/>
          </w:r>
        </w:p>
        <w:p>
          <w:pPr>
            <w:pStyle w:val="74"/>
            <w:tabs>
              <w:tab w:val="right" w:leader="dot" w:pos="8306"/>
            </w:tabs>
          </w:pPr>
          <w:r>
            <w:rPr>
              <w:bCs/>
            </w:rPr>
            <w:fldChar w:fldCharType="begin"/>
          </w:r>
          <w:r>
            <w:rPr>
              <w:bCs/>
            </w:rPr>
            <w:instrText xml:space="preserve"> HYPERLINK \l _Toc6922 </w:instrText>
          </w:r>
          <w:r>
            <w:rPr>
              <w:bCs/>
            </w:rPr>
            <w:fldChar w:fldCharType="separate"/>
          </w:r>
          <w:r>
            <w:rPr>
              <w:rFonts w:hint="eastAsia" w:ascii="楷体" w:hAnsi="楷体" w:eastAsia="楷体"/>
              <w:szCs w:val="24"/>
            </w:rPr>
            <w:t>铝：铝价上测前高，建议空仓等待明朗趋势</w:t>
          </w:r>
          <w:r>
            <w:rPr>
              <w:bCs/>
            </w:rPr>
            <w:fldChar w:fldCharType="end"/>
          </w:r>
        </w:p>
        <w:p>
          <w:pPr>
            <w:pStyle w:val="74"/>
            <w:tabs>
              <w:tab w:val="right" w:leader="dot" w:pos="8306"/>
            </w:tabs>
          </w:pPr>
          <w:r>
            <w:rPr>
              <w:bCs/>
            </w:rPr>
            <w:fldChar w:fldCharType="begin"/>
          </w:r>
          <w:r>
            <w:rPr>
              <w:bCs/>
            </w:rPr>
            <w:instrText xml:space="preserve"> HYPERLINK \l _Toc28378 </w:instrText>
          </w:r>
          <w:r>
            <w:rPr>
              <w:bCs/>
            </w:rPr>
            <w:fldChar w:fldCharType="separate"/>
          </w:r>
          <w:r>
            <w:rPr>
              <w:rFonts w:hint="eastAsia" w:ascii="楷体" w:hAnsi="楷体" w:eastAsia="楷体"/>
              <w:szCs w:val="24"/>
            </w:rPr>
            <w:t>锌：锌价阶段高位，建议观望</w:t>
          </w:r>
          <w:r>
            <w:rPr>
              <w:bCs/>
            </w:rPr>
            <w:fldChar w:fldCharType="end"/>
          </w:r>
        </w:p>
        <w:p>
          <w:pPr>
            <w:pStyle w:val="74"/>
            <w:tabs>
              <w:tab w:val="right" w:leader="dot" w:pos="8306"/>
            </w:tabs>
          </w:pPr>
          <w:r>
            <w:rPr>
              <w:bCs/>
            </w:rPr>
            <w:fldChar w:fldCharType="begin"/>
          </w:r>
          <w:r>
            <w:rPr>
              <w:bCs/>
            </w:rPr>
            <w:instrText xml:space="preserve"> HYPERLINK \l _Toc8473 </w:instrText>
          </w:r>
          <w:r>
            <w:rPr>
              <w:bCs/>
            </w:rPr>
            <w:fldChar w:fldCharType="separate"/>
          </w:r>
          <w:r>
            <w:rPr>
              <w:rFonts w:hint="eastAsia" w:ascii="楷体" w:hAnsi="楷体" w:eastAsia="楷体"/>
              <w:szCs w:val="24"/>
            </w:rPr>
            <w:t>镍：逢高沽空为宜</w:t>
          </w:r>
          <w:r>
            <w:rPr>
              <w:bCs/>
            </w:rPr>
            <w:fldChar w:fldCharType="end"/>
          </w:r>
        </w:p>
        <w:p>
          <w:pPr>
            <w:pStyle w:val="74"/>
            <w:tabs>
              <w:tab w:val="right" w:leader="dot" w:pos="8306"/>
            </w:tabs>
          </w:pPr>
          <w:r>
            <w:rPr>
              <w:bCs/>
            </w:rPr>
            <w:fldChar w:fldCharType="begin"/>
          </w:r>
          <w:r>
            <w:rPr>
              <w:bCs/>
            </w:rPr>
            <w:instrText xml:space="preserve"> HYPERLINK \l _Toc7393 </w:instrText>
          </w:r>
          <w:r>
            <w:rPr>
              <w:bCs/>
            </w:rPr>
            <w:fldChar w:fldCharType="separate"/>
          </w:r>
          <w:r>
            <w:rPr>
              <w:rFonts w:hint="eastAsia" w:ascii="楷体" w:hAnsi="楷体" w:eastAsia="楷体"/>
              <w:szCs w:val="24"/>
            </w:rPr>
            <w:t>不锈钢：成本支撑与需求疲弱构成矛盾，价格下方空间有限</w:t>
          </w:r>
          <w:r>
            <w:rPr>
              <w:bCs/>
            </w:rPr>
            <w:fldChar w:fldCharType="end"/>
          </w:r>
        </w:p>
        <w:p>
          <w:pPr>
            <w:pStyle w:val="74"/>
            <w:tabs>
              <w:tab w:val="right" w:leader="dot" w:pos="8306"/>
            </w:tabs>
          </w:pPr>
          <w:r>
            <w:rPr>
              <w:bCs/>
            </w:rPr>
            <w:fldChar w:fldCharType="begin"/>
          </w:r>
          <w:r>
            <w:rPr>
              <w:bCs/>
            </w:rPr>
            <w:instrText xml:space="preserve"> HYPERLINK \l _Toc13873 </w:instrText>
          </w:r>
          <w:r>
            <w:rPr>
              <w:bCs/>
            </w:rPr>
            <w:fldChar w:fldCharType="separate"/>
          </w:r>
          <w:r>
            <w:rPr>
              <w:rFonts w:hint="eastAsia" w:ascii="楷体" w:hAnsi="楷体" w:eastAsia="楷体"/>
              <w:szCs w:val="24"/>
            </w:rPr>
            <w:t>工业硅：现货市场暂未止跌，盘面或偏弱运行</w:t>
          </w:r>
          <w:r>
            <w:rPr>
              <w:bCs/>
            </w:rPr>
            <w:fldChar w:fldCharType="end"/>
          </w:r>
        </w:p>
        <w:p>
          <w:pPr>
            <w:pStyle w:val="59"/>
            <w:tabs>
              <w:tab w:val="right" w:leader="dot" w:pos="8306"/>
            </w:tabs>
          </w:pPr>
          <w:r>
            <w:rPr>
              <w:bCs/>
            </w:rPr>
            <w:fldChar w:fldCharType="begin"/>
          </w:r>
          <w:r>
            <w:rPr>
              <w:bCs/>
            </w:rPr>
            <w:instrText xml:space="preserve"> HYPERLINK \l _Toc13625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_Toc17508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基本面仍存利好叠加收储传闻 短期天胶或偏强运行</w:t>
          </w:r>
          <w:r>
            <w:rPr>
              <w:bCs/>
            </w:rPr>
            <w:fldChar w:fldCharType="end"/>
          </w:r>
        </w:p>
        <w:p>
          <w:pPr>
            <w:pStyle w:val="74"/>
            <w:tabs>
              <w:tab w:val="right" w:leader="dot" w:pos="8306"/>
            </w:tabs>
          </w:pPr>
          <w:r>
            <w:rPr>
              <w:bCs/>
            </w:rPr>
            <w:fldChar w:fldCharType="begin"/>
          </w:r>
          <w:r>
            <w:rPr>
              <w:bCs/>
            </w:rPr>
            <w:instrText xml:space="preserve"> HYPERLINK \l _Toc27273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_Toc21465 </w:instrText>
          </w:r>
          <w:r>
            <w:rPr>
              <w:bCs/>
            </w:rPr>
            <w:fldChar w:fldCharType="separate"/>
          </w:r>
          <w:r>
            <w:rPr>
              <w:rFonts w:hint="eastAsia" w:ascii="楷体" w:hAnsi="楷体" w:eastAsia="楷体"/>
              <w:szCs w:val="24"/>
            </w:rPr>
            <w:t>玻璃：现货维持弱势，期价成本附近震荡</w:t>
          </w:r>
          <w:r>
            <w:rPr>
              <w:bCs/>
            </w:rPr>
            <w:fldChar w:fldCharType="end"/>
          </w:r>
        </w:p>
        <w:p>
          <w:pPr>
            <w:pStyle w:val="74"/>
            <w:tabs>
              <w:tab w:val="right" w:leader="dot" w:pos="8306"/>
            </w:tabs>
          </w:pPr>
          <w:r>
            <w:rPr>
              <w:bCs/>
            </w:rPr>
            <w:fldChar w:fldCharType="begin"/>
          </w:r>
          <w:r>
            <w:rPr>
              <w:bCs/>
            </w:rPr>
            <w:instrText xml:space="preserve"> HYPERLINK \l _Toc16544 </w:instrText>
          </w:r>
          <w:r>
            <w:rPr>
              <w:bCs/>
            </w:rPr>
            <w:fldChar w:fldCharType="separate"/>
          </w:r>
          <w:r>
            <w:rPr>
              <w:rFonts w:hint="eastAsia" w:ascii="楷体" w:hAnsi="楷体" w:eastAsia="楷体"/>
              <w:szCs w:val="24"/>
            </w:rPr>
            <w:t>纯碱：现货稳价，关注反弹后套保压力</w:t>
          </w:r>
          <w:r>
            <w:rPr>
              <w:bCs/>
            </w:rPr>
            <w:fldChar w:fldCharType="end"/>
          </w:r>
        </w:p>
        <w:p>
          <w:pPr>
            <w:pStyle w:val="59"/>
            <w:tabs>
              <w:tab w:val="right" w:leader="dot" w:pos="8306"/>
            </w:tabs>
          </w:pPr>
          <w:r>
            <w:rPr>
              <w:bCs/>
            </w:rPr>
            <w:fldChar w:fldCharType="begin"/>
          </w:r>
          <w:r>
            <w:rPr>
              <w:bCs/>
            </w:rPr>
            <w:instrText xml:space="preserve"> HYPERLINK \l _Toc3161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_Toc3694 </w:instrText>
          </w:r>
          <w:r>
            <w:rPr>
              <w:bCs/>
            </w:rPr>
            <w:fldChar w:fldCharType="separate"/>
          </w:r>
          <w:r>
            <w:rPr>
              <w:rFonts w:hint="eastAsia" w:ascii="楷体" w:hAnsi="楷体" w:eastAsia="楷体"/>
              <w:bCs/>
            </w:rPr>
            <w:t>玉米与淀粉：</w:t>
          </w:r>
          <w:r>
            <w:rPr>
              <w:rFonts w:hint="eastAsia" w:ascii="楷体" w:hAnsi="楷体" w:eastAsia="楷体"/>
            </w:rPr>
            <w:t>期价等待现货驱动</w:t>
          </w:r>
          <w:r>
            <w:rPr>
              <w:bCs/>
            </w:rPr>
            <w:fldChar w:fldCharType="end"/>
          </w:r>
        </w:p>
        <w:p>
          <w:pPr>
            <w:pStyle w:val="74"/>
            <w:tabs>
              <w:tab w:val="right" w:leader="dot" w:pos="8306"/>
            </w:tabs>
          </w:pPr>
          <w:r>
            <w:rPr>
              <w:bCs/>
            </w:rPr>
            <w:fldChar w:fldCharType="begin"/>
          </w:r>
          <w:r>
            <w:rPr>
              <w:bCs/>
            </w:rPr>
            <w:instrText xml:space="preserve"> HYPERLINK \l _Toc17953 </w:instrText>
          </w:r>
          <w:r>
            <w:rPr>
              <w:bCs/>
            </w:rPr>
            <w:fldChar w:fldCharType="separate"/>
          </w:r>
          <w:r>
            <w:rPr>
              <w:rFonts w:hint="eastAsia" w:ascii="楷体" w:hAnsi="楷体" w:eastAsia="楷体"/>
              <w:bCs/>
            </w:rPr>
            <w:t>畜禽养殖：期价转为近弱远强</w:t>
          </w:r>
          <w:r>
            <w:rPr>
              <w:bCs/>
            </w:rPr>
            <w:fldChar w:fldCharType="end"/>
          </w:r>
        </w:p>
        <w:p>
          <w:pPr>
            <w:pStyle w:val="59"/>
            <w:tabs>
              <w:tab w:val="right" w:leader="dot" w:pos="8306"/>
            </w:tabs>
          </w:pPr>
          <w:r>
            <w:rPr>
              <w:bCs/>
            </w:rPr>
            <w:fldChar w:fldCharType="begin"/>
          </w:r>
          <w:r>
            <w:rPr>
              <w:bCs/>
            </w:rPr>
            <w:instrText xml:space="preserve"> HYPERLINK \l _Toc23587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_Toc15862 </w:instrText>
          </w:r>
          <w:r>
            <w:rPr>
              <w:bCs/>
            </w:rPr>
            <w:fldChar w:fldCharType="separate"/>
          </w:r>
          <w:r>
            <w:rPr>
              <w:rFonts w:hint="eastAsia" w:ascii="Times New Roman" w:hAnsi="Times New Roman" w:eastAsia="楷体"/>
              <w:szCs w:val="24"/>
            </w:rPr>
            <w:t>集运指数（欧线）：现货超预期下跌，EC盘面或维持弱势</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986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662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待盘整后低多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海外方面，美国2月CPI涨幅3.2%高于预期3.1%，为去年12月以来新高，美国长期通胀预期抬升，降息预期再度推迟，根据CME预测前景，第一次降息将在6月份进行，到2024年底，将有四次降息，总计下调整整一个百分点。国内方面，万科如期兑付到期美元债，短期风险解除，在政策支持下，随着地产风险逐渐出清。总的来说，3月基本面政策面向上弹性不足，但短期市场调整风险总体可控，管理层重视预期管理，回应市场关切，有利于托住A股市场震荡区间下限，结构性机会尚存。海外方面，美联储降息预期推迟，短线对外资流入有一定影响，中期来看，美联储2024年降息大势仍在。在4月经济和业绩的验证期尚未到来，市场或以震荡盘整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6688"/>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4802"/>
      <w:r>
        <w:rPr>
          <w:rFonts w:hint="eastAsia" w:ascii="Times New Roman" w:hAnsi="Times New Roman" w:eastAsia="楷体"/>
          <w:b/>
          <w:color w:val="000000" w:themeColor="text1"/>
          <w:sz w:val="24"/>
          <w:szCs w:val="24"/>
          <w14:textFill>
            <w14:solidFill>
              <w14:schemeClr w14:val="tx1"/>
            </w14:solidFill>
          </w14:textFill>
        </w:rPr>
        <w:t>贵金属：美国CPI通胀略超预期，贵金属价格小幅回落</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0.69%至504.50元/克；沪银跌0.68%至6118元/千克。美国2月CPI涨幅高于预期，美国2月CPI同比增3.2%，为去年12月以来新高，预期增3.1%，前值增3.1%；CPI环比增0.4%，预期增0.4%，前值增0.3%；核心CPI同比增3.8%，为2021年5月以来新低，预期增3.7%，前值增3.9%；环比增0.4%，预期增0.3%，前值增0.4%。核心通胀维持韧性，目前海外市场定价联储或于6月启动降息。美联储本周进入噤声期，下周将公布3月议息决议。美国经济数据表现偏弱、就业市场放缓，美联储主席讲话提及“降息并不遥远”，美元指数、美债收益率窄幅运行，留意周四晚间美国PPI生产端通胀数据情况，市场将基于最新通胀数据表现修正降息预期，贵金属价格短线或区间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103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229"/>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碳酸锂：二月动力电池装车量下降，期价维持上涨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略微上涨，期价高开后横盘运行，07合约收涨4.13%至119850元/吨。最新一周碳酸锂下游库存增长，或反映补库的采购需求有所回暖。据中国汽车动力电池产业创新联盟数据，2月国内动力电池装车量18GWh，同比下降18.1%，环比下降44.4%，主要受春节影响。其中，2月三元电池装车量6.9GWh，占总装车量38.7%，同比增长3.3%，环比下降44.9%；磷酸铁锂电池装车量11.0GWh，占总装车量61.3%，同比下降27.5%，环比下降44.1%。下游电芯厂对磷酸铁锂及三元材料的需求均不同程度上恢复，碳酸锂生产企业维持挺价情绪，进口矿石价格近期升至1000美元/吨上方。澳洲Pilbara Minerals宣布将在3月18日进行约5000吨锂辉石精矿的拍卖，届时拍卖成交价或在一定程度上为市场提供锂价上方的预期指引。新能源板块维持乐观情绪，进入三月后品种或面临仓单注销压力，持续关注下游补库需求及环保相关情况，锂价或偏强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12374"/>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短期维持高位运行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(1)宏观：美国2月CPI同比增3.2%，高于预期的3.1%，前值为3.1%。CPI环比增0.4%，符合预期，但高出前值0.3%。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美国2月核心CPI同比增3.8%%，高于预期的3.7%，较前值3.9%进一步回落，仍为2021年5月以来的最低水平。</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(2)库存：3月12日，SHFE仓单库存173071吨，增7051吨；LME仓单库存110900吨，增50吨。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(3)精废价差：3月12日，Mysteel精废价差1504，收窄52。目前价差在合理价差1395之上。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综述：美国2月通胀数据与预期相差不大，短期宏观层面暂无明显利空，铜价影响或更多转向基本面，国内库存仍在累增中，需求未见明显转好表现， 但当下矿端依然处于偏紧格局，铜精矿加工费持续承压，传导至冶炼端供应的担忧构成铜价下方支撑，建议继续关注冶炼端产出影响，短期参考区间69000-71000。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6922"/>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铝价上测前高，建议空仓等待明朗趋势</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海外联储降息叠加国内两会召开带动市场情绪偏暖，基本面供应整体保持稳定，需求旺季消费有乐观预期，推动铝价上测19300附近前高位置，目前来看，消费处于真空期，宏观情绪带动有限，如无明显利多、利空的宏观或基本面消息刺激，建议等待趋势明朗再操作。</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8378"/>
      <w:r>
        <w:rPr>
          <w:rFonts w:hint="eastAsia" w:ascii="楷体" w:hAnsi="楷体" w:eastAsia="楷体"/>
          <w:b/>
          <w:color w:val="000000" w:themeColor="text1"/>
          <w:sz w:val="24"/>
          <w:szCs w:val="24"/>
          <w14:textFill>
            <w14:solidFill>
              <w14:schemeClr w14:val="tx1"/>
            </w14:solidFill>
          </w14:textFill>
        </w:rPr>
        <w:t>锌：锌价阶段高位，建议观望</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整体偏利多，供应端有矿端减产扰动，部门地区检修停产，3月月度产量预计同比下滑，终端需求在旺季消费叠加两会后可能针对地产基建有利多政策的预期下有所好转，下游开工率回升，锌价上涨测试前高，建议观望前高压力突破情况。</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8473"/>
      <w:r>
        <w:rPr>
          <w:rFonts w:hint="eastAsia" w:ascii="楷体" w:hAnsi="楷体" w:eastAsia="楷体"/>
          <w:b/>
          <w:color w:val="000000" w:themeColor="text1"/>
          <w:sz w:val="24"/>
          <w:szCs w:val="24"/>
          <w14:textFill>
            <w14:solidFill>
              <w14:schemeClr w14:val="tx1"/>
            </w14:solidFill>
          </w14:textFill>
        </w:rPr>
        <w:t>镍：逢高沽空为宜</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镍价的影响因素主要在于：一、美国2月CPI及核心CPI高于预期，下修美联储降息预期。二、短期印尼镍矿资源仍偏紧，但印尼官员也表示能矿部计划在3月底前完成所有采矿RKAB审批。三、成本支撑走强，从中间品来看，受前期印尼华飞等MHP项目减产的影响，MHP供需偏紧，近期价格系数维持在75-80高位水平；从硫酸镍来看，此前持续性亏损压力使得硫酸镍厂家减产较多，而近期下游三元材料存在补库需求，在这种阶段性供需矛盾下短期硫酸镍价格偏强运行。然而，精炼镍产能继续释放，镍供应显著过剩的产业格局未有改变，社会库存维持累库趋势。综合而言，虽然矿端资源偏紧及成本走强为镍价带来支撑，而供应过剩格局及社会库存趋势性累库下镍价反弹空间有限，压力位关注143000元/吨，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7393"/>
      <w:r>
        <w:rPr>
          <w:rFonts w:hint="eastAsia" w:ascii="楷体" w:hAnsi="楷体" w:eastAsia="楷体"/>
          <w:b/>
          <w:color w:val="000000" w:themeColor="text1"/>
          <w:sz w:val="24"/>
          <w:szCs w:val="24"/>
          <w14:textFill>
            <w14:solidFill>
              <w14:schemeClr w14:val="tx1"/>
            </w14:solidFill>
          </w14:textFill>
        </w:rPr>
        <w:t>不锈钢：成本支撑与需求疲弱构成矛盾，价格下方空间有限</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从成本来看，印尼镍矿RKAB审批缓慢使得印尼镍矿资源偏紧，为短期镍矿和镍铁价格形成支撑，据Mysteel测算，不锈钢成本在13500-13600元/吨左右，预计三月底印尼镍矿审批速度将加快，届时镍矿及镍铁价格存下跌空间。从供需来看，不锈钢厂将陆续复产，据Mysteel预估，国内43家不锈钢厂粗钢3月排产312.03万吨，月环比增加21.4%，而节后下游成交多以刚需采购为主，未见需求明显回暖迹象，上周社会库存累库5.04%。综合而言，当前不锈钢价格的逻辑因素主要在于弱需求与高成本的矛盾，需求疲弱对价格带来压制，但成本支撑较强，不锈钢下方空间有限，持续关注需求状况及印尼镍矿RKAB审批进展。</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387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现货市场暂未止跌，盘面或偏弱运行</w:t>
      </w:r>
      <w:bookmarkEnd w:id="27"/>
    </w:p>
    <w:p>
      <w:pPr>
        <w:ind w:left="630" w:leftChars="300"/>
        <w:rPr>
          <w:rFonts w:ascii="楷体" w:hAnsi="楷体" w:eastAsia="楷体"/>
          <w:sz w:val="24"/>
          <w:szCs w:val="24"/>
        </w:rPr>
      </w:pPr>
      <w:r>
        <w:rPr>
          <w:rFonts w:hint="eastAsia" w:ascii="楷体" w:hAnsi="楷体" w:eastAsia="楷体"/>
          <w:sz w:val="24"/>
          <w:szCs w:val="24"/>
        </w:rPr>
        <w:t>3月12日，Si2405主力合约呈冲高回落走势，收盘价13280元/吨，较上一收盘价涨跌幅+0.68%。据市场反馈，近期现货市场成交有所回暖，但回暖速度不及预期，以及采购方存在明显压价情绪，在库存压力下，部分卖方存在降价成交行为。目前，现货市场暂未出现明显止跌企稳迹象，预计盘面或将震荡偏弱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3625"/>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1750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基本面仍存利好叠加收储传闻 短期天胶或偏强运行</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下游开工继续提升，但缺乏实质增量驱动，对原材料采购仍存谨慎态度，基本面表现仍存利好叠加收储炒作提振市场氛围，短期天然橡胶价格维持偏强运行，但上行空间存疑。</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7273"/>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在地膜即将进入旺产季之时，建议逢低多L，逢高空PP性价比更高。</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21465"/>
      <w:r>
        <w:rPr>
          <w:rFonts w:hint="eastAsia" w:ascii="楷体" w:hAnsi="楷体" w:eastAsia="楷体"/>
          <w:b/>
          <w:color w:val="000000" w:themeColor="text1"/>
          <w:sz w:val="24"/>
          <w:szCs w:val="24"/>
          <w14:textFill>
            <w14:solidFill>
              <w14:schemeClr w14:val="tx1"/>
            </w14:solidFill>
          </w14:textFill>
        </w:rPr>
        <w:t>玻璃：现货维持弱势，期价成本附近震荡</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12日报道:今日浮法玻璃现货价格1920元/吨，较上一交易日-1元/吨。供给上，全国浮法玻璃日产量为17.37万吨，比29日+0.78%。库存上，截止到20240307，全国浮法玻璃样本企业总库存5924.3万重箱，环比+352.1万重箱，环比+6.32%，从本周产销来看，预计继续累库，但累库幅度边际减少。从需求看，下游复工不复产情况较多，上游沙河湖北主产区原片厂和中游贸易商库存持续积累，有待消化，仍有降价预期，下游回款差，补库谨慎，刚需为主。盘面上受周末现货降价影响，期价跌破年线后继续下行，短线在成本线附近震荡，建议观望，重点关注降价后玻璃销售情况。</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16544"/>
      <w:r>
        <w:rPr>
          <w:rFonts w:hint="eastAsia" w:ascii="楷体" w:hAnsi="楷体" w:eastAsia="楷体"/>
          <w:b/>
          <w:color w:val="000000" w:themeColor="text1"/>
          <w:sz w:val="24"/>
          <w:szCs w:val="24"/>
          <w14:textFill>
            <w14:solidFill>
              <w14:schemeClr w14:val="tx1"/>
            </w14:solidFill>
          </w14:textFill>
        </w:rPr>
        <w:t>纯碱：现货稳价，关注反弹后套保压力</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端稳价，河北、河南等地重碱价格在1950-2000元/吨附近成交较多，消息面上碱厂联合挺价，下周部分碱厂计划涨价刺激下游补库。从供给端来看，隆众资讯3月7日报道:本周纯碱产量74.71万吨，环比增加0.4万吨，涨幅0.54%，3月中下旬有部分检修计划检修，同期青海地区产量回升，预计周度产量维持在72-73万吨附近。从库存上看，周一隆众数据显示:国内纯碱厂家总库存79.67万吨，环比上周四下降7.37万吨，降幅8.47%，去库良好。需求上，玻璃厂重碱有进口碱补充，维持刚需;轻碱下游，短期轻碱价格回升，刺激下游开始补库，从刚需来看，周度表需大约在63-64万吨，纯碱要大幅去库，那么周度表需要提升到75万吨以上，下游消耗空间有限，补库时间可能在1-2周，大规模集中补库或难以长时间持续。盘面的上周受到消息面和去库刺激反弹，但在未看到供给端减产之前，中期累库趋势难改，期价收至平水或小幅升水位置，给期现和碱厂较好的套保和套利空间，短线建议近月平水附近高空为主。</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3161"/>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369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期价等待现货驱动</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后以来期现货上涨之后，期价转为震荡调整，市场可能存在两个方面的担忧，其一是担心为后期气温上升之后，余粮特别是地趴粮带来的供应压力；其二是担心进口储备投放，再加上国内价格上涨使得内外价差走扩，市场会担心进口增量来补充国内玉米产需缺口。换句话说，市场短期会再度担心阶段性供应压力，中长期产需缺口预期转变亦尚未成为市场共识，这需要市场逐步证实。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收窄主要源于副产品端，即蛋白粕大幅反弹带来副产品价格回升的担忧，但其他三个方面暂存在支撑，行业供需中淀粉行业库存已经连续两周下滑，原料端华北-东北玉米价差小幅走扩，而现货基差则再度走强。在我们看来，考虑到盘面生产利润已进入亏损状况，在副产品和行业供需尚未确认之前，暂不适合入场做缩淀粉-玉米价差。综上所述，我们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17953"/>
      <w:r>
        <w:rPr>
          <w:rFonts w:hint="eastAsia" w:ascii="楷体" w:hAnsi="楷体" w:eastAsia="楷体"/>
          <w:b/>
          <w:bCs/>
          <w:color w:val="000000" w:themeColor="text1"/>
          <w14:textFill>
            <w14:solidFill>
              <w14:schemeClr w14:val="tx1"/>
            </w14:solidFill>
          </w14:textFill>
        </w:rPr>
        <w:t>畜禽养殖：期价转为近弱远强</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目前期价结构呈现远月升水结构，表明市场对远期供需预期趋于乐观，这主要源于产能去化即能繁母猪存栏的持续下降，但市场对其改善幅度存在分歧，特别是春节前仔猪现货价格大幅上涨之后，因其使得母猪养殖变得盈利，这将抑制产能的继续去化。而对于近期供需而言 ，从农业农村部公布的四季度末生猪存栏可以看出，生猪供应有望低于去年同期，但考虑到需求季节性因素，能否改变供需格局尚未可知，去年四季度豆粕和玉米的大幅下跌，生猪养殖饲料成本显著低于去年同期，在这种供需格局和饲料成本的背景下，接下来的现货涨幅存在不确定性。当前期价近强远弱，近月基差走弱，而远月基差走强，表明市场相对看多近月，这主要源于市场的惜售心理和潜在的二次育肥，这种走势与去年2月期间颇为相似，在这种情况下，需要特别留意接下来的现货走势。据此我们维持中性观点，建议谨慎投资者观望，激进投资者可以考虑短线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价持续下跌，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中期与短期利空因素或已经在很大程度上得以释放，继续下跌空间或有限，接下来或震荡反弹或趋于调整。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23587"/>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5862"/>
      <w:r>
        <w:rPr>
          <w:rFonts w:hint="eastAsia" w:ascii="Times New Roman" w:hAnsi="Times New Roman" w:eastAsia="楷体"/>
          <w:b/>
          <w:color w:val="000000" w:themeColor="text1"/>
          <w:sz w:val="24"/>
          <w:szCs w:val="24"/>
          <w14:textFill>
            <w14:solidFill>
              <w14:schemeClr w14:val="tx1"/>
            </w14:solidFill>
          </w14:textFill>
        </w:rPr>
        <w:t>集运指数（欧线）：现货超预期下跌，EC盘面或维持弱势</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昨日盘后公布SCFIS欧洲航线运价指数为2533.68点，环比下行11.1%。目前主力合约贴水标的现货指数近700点，基差进一步得到收敛。3月8日，上海港出口至欧洲基本港市场运价为2134美元/TEU，较上期下跌6.3%。</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目前哈以谈判尚无结果，双方均维持强硬态度，预计斋月停火预期基本落空，中东紧张局势暂无缓和迹象。同时根据最新消息达飞重新评估红海南部地区的情况，考虑个别船只通航红海。</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春节后工厂开工、货运需求进入淡季。因此周期性因素拖动EC转弱势，但目前期价贴水仍然较深，同时目前至4月交割日时间有限，现货价格逐步向下收敛，但期货下限空间或有限，因此预计期货价格继续弱震荡。</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9667"/>
      <w:bookmarkStart w:id="40" w:name="_Toc12779"/>
      <w:bookmarkStart w:id="41" w:name="_Toc98426751"/>
      <w:bookmarkStart w:id="42" w:name="_Toc72481108"/>
      <w:bookmarkStart w:id="43" w:name="_Toc71212556"/>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2024年3月13日星期三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8A2E5C"/>
    <w:rsid w:val="25B924F3"/>
    <w:rsid w:val="25E06B30"/>
    <w:rsid w:val="268419CF"/>
    <w:rsid w:val="26AC2D80"/>
    <w:rsid w:val="26F95364"/>
    <w:rsid w:val="29A303B9"/>
    <w:rsid w:val="2B9C319C"/>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63E0D"/>
    <w:rsid w:val="44092E2E"/>
    <w:rsid w:val="441077D2"/>
    <w:rsid w:val="44396064"/>
    <w:rsid w:val="459609D9"/>
    <w:rsid w:val="45A37566"/>
    <w:rsid w:val="45CF0A85"/>
    <w:rsid w:val="46194A1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7F46FBE"/>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79454F"/>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B53D6B"/>
    <w:rsid w:val="77D54B08"/>
    <w:rsid w:val="784F7772"/>
    <w:rsid w:val="78713929"/>
    <w:rsid w:val="78E55995"/>
    <w:rsid w:val="79267C0B"/>
    <w:rsid w:val="79C90FB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2024-03-13T02:24:23Z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