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_Toc2891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_Toc17909 </w:instrText>
          </w:r>
          <w:r>
            <w:rPr>
              <w:bCs/>
            </w:rPr>
            <w:fldChar w:fldCharType="separate"/>
          </w:r>
          <w:r>
            <w:rPr>
              <w:rFonts w:hint="eastAsia" w:ascii="Times New Roman" w:hAnsi="Times New Roman" w:eastAsia="楷体"/>
              <w:szCs w:val="24"/>
            </w:rPr>
            <w:t>股指：待盘整后低多</w:t>
          </w:r>
          <w:r>
            <w:rPr>
              <w:bCs/>
            </w:rPr>
            <w:fldChar w:fldCharType="end"/>
          </w:r>
        </w:p>
        <w:p>
          <w:pPr>
            <w:pStyle w:val="59"/>
            <w:tabs>
              <w:tab w:val="right" w:leader="dot" w:pos="8306"/>
            </w:tabs>
          </w:pPr>
          <w:r>
            <w:rPr>
              <w:bCs/>
            </w:rPr>
            <w:fldChar w:fldCharType="begin"/>
          </w:r>
          <w:r>
            <w:rPr>
              <w:bCs/>
            </w:rPr>
            <w:instrText xml:space="preserve"> HYPERLINK \l _Toc19300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_Toc11782 </w:instrText>
          </w:r>
          <w:r>
            <w:rPr>
              <w:bCs/>
            </w:rPr>
            <w:fldChar w:fldCharType="separate"/>
          </w:r>
          <w:r>
            <w:rPr>
              <w:rFonts w:hint="eastAsia" w:ascii="Times New Roman" w:hAnsi="Times New Roman" w:eastAsia="楷体"/>
              <w:szCs w:val="24"/>
            </w:rPr>
            <w:t>贵金属：静待美国CPI通胀数据公布，贵金属价格窄幅震荡</w:t>
          </w:r>
          <w:r>
            <w:rPr>
              <w:bCs/>
            </w:rPr>
            <w:fldChar w:fldCharType="end"/>
          </w:r>
        </w:p>
        <w:p>
          <w:pPr>
            <w:pStyle w:val="59"/>
            <w:tabs>
              <w:tab w:val="right" w:leader="dot" w:pos="8306"/>
            </w:tabs>
          </w:pPr>
          <w:r>
            <w:rPr>
              <w:bCs/>
            </w:rPr>
            <w:fldChar w:fldCharType="begin"/>
          </w:r>
          <w:r>
            <w:rPr>
              <w:bCs/>
            </w:rPr>
            <w:instrText xml:space="preserve"> HYPERLINK \l _Toc13250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_Toc18003 </w:instrText>
          </w:r>
          <w:r>
            <w:rPr>
              <w:bCs/>
            </w:rPr>
            <w:fldChar w:fldCharType="separate"/>
          </w:r>
          <w:r>
            <w:rPr>
              <w:rFonts w:hint="eastAsia" w:ascii="楷体" w:hAnsi="楷体" w:eastAsia="楷体"/>
              <w:szCs w:val="24"/>
            </w:rPr>
            <w:t>碳酸锂：新能源板块情绪高涨，期价反弹</w:t>
          </w:r>
          <w:r>
            <w:rPr>
              <w:bCs/>
            </w:rPr>
            <w:fldChar w:fldCharType="end"/>
          </w:r>
        </w:p>
        <w:p>
          <w:pPr>
            <w:pStyle w:val="74"/>
            <w:tabs>
              <w:tab w:val="right" w:leader="dot" w:pos="8306"/>
            </w:tabs>
          </w:pPr>
          <w:r>
            <w:rPr>
              <w:bCs/>
            </w:rPr>
            <w:fldChar w:fldCharType="begin"/>
          </w:r>
          <w:r>
            <w:rPr>
              <w:bCs/>
            </w:rPr>
            <w:instrText xml:space="preserve"> HYPERLINK \l _Toc23872 </w:instrText>
          </w:r>
          <w:r>
            <w:rPr>
              <w:bCs/>
            </w:rPr>
            <w:fldChar w:fldCharType="separate"/>
          </w:r>
          <w:r>
            <w:rPr>
              <w:rFonts w:hint="eastAsia" w:ascii="楷体" w:hAnsi="楷体" w:eastAsia="楷体"/>
              <w:szCs w:val="24"/>
            </w:rPr>
            <w:t>铜：短期维持高位运行</w:t>
          </w:r>
          <w:r>
            <w:rPr>
              <w:bCs/>
            </w:rPr>
            <w:fldChar w:fldCharType="end"/>
          </w:r>
        </w:p>
        <w:p>
          <w:pPr>
            <w:pStyle w:val="74"/>
            <w:tabs>
              <w:tab w:val="right" w:leader="dot" w:pos="8306"/>
            </w:tabs>
          </w:pPr>
          <w:r>
            <w:rPr>
              <w:bCs/>
            </w:rPr>
            <w:fldChar w:fldCharType="begin"/>
          </w:r>
          <w:r>
            <w:rPr>
              <w:bCs/>
            </w:rPr>
            <w:instrText xml:space="preserve"> HYPERLINK \l _Toc16077 </w:instrText>
          </w:r>
          <w:r>
            <w:rPr>
              <w:bCs/>
            </w:rPr>
            <w:fldChar w:fldCharType="separate"/>
          </w:r>
          <w:r>
            <w:rPr>
              <w:rFonts w:hint="eastAsia" w:ascii="楷体" w:hAnsi="楷体" w:eastAsia="楷体"/>
              <w:szCs w:val="24"/>
            </w:rPr>
            <w:t>铝：铝价偏多看待，测试前高压力位置</w:t>
          </w:r>
          <w:r>
            <w:rPr>
              <w:bCs/>
            </w:rPr>
            <w:fldChar w:fldCharType="end"/>
          </w:r>
        </w:p>
        <w:p>
          <w:pPr>
            <w:pStyle w:val="74"/>
            <w:tabs>
              <w:tab w:val="right" w:leader="dot" w:pos="8306"/>
            </w:tabs>
          </w:pPr>
          <w:r>
            <w:rPr>
              <w:bCs/>
            </w:rPr>
            <w:fldChar w:fldCharType="begin"/>
          </w:r>
          <w:r>
            <w:rPr>
              <w:bCs/>
            </w:rPr>
            <w:instrText xml:space="preserve"> HYPERLINK \l _Toc12443 </w:instrText>
          </w:r>
          <w:r>
            <w:rPr>
              <w:bCs/>
            </w:rPr>
            <w:fldChar w:fldCharType="separate"/>
          </w:r>
          <w:r>
            <w:rPr>
              <w:rFonts w:hint="eastAsia" w:ascii="楷体" w:hAnsi="楷体" w:eastAsia="楷体"/>
              <w:szCs w:val="24"/>
            </w:rPr>
            <w:t>锌：锌市价格趋势偏多</w:t>
          </w:r>
          <w:r>
            <w:rPr>
              <w:bCs/>
            </w:rPr>
            <w:fldChar w:fldCharType="end"/>
          </w:r>
        </w:p>
        <w:p>
          <w:pPr>
            <w:pStyle w:val="74"/>
            <w:tabs>
              <w:tab w:val="right" w:leader="dot" w:pos="8306"/>
            </w:tabs>
          </w:pPr>
          <w:r>
            <w:rPr>
              <w:bCs/>
            </w:rPr>
            <w:fldChar w:fldCharType="begin"/>
          </w:r>
          <w:r>
            <w:rPr>
              <w:bCs/>
            </w:rPr>
            <w:instrText xml:space="preserve"> HYPERLINK \l _Toc15232 </w:instrText>
          </w:r>
          <w:r>
            <w:rPr>
              <w:bCs/>
            </w:rPr>
            <w:fldChar w:fldCharType="separate"/>
          </w:r>
          <w:r>
            <w:rPr>
              <w:rFonts w:hint="eastAsia" w:ascii="楷体" w:hAnsi="楷体" w:eastAsia="楷体"/>
              <w:szCs w:val="24"/>
            </w:rPr>
            <w:t>镍：镍价缺乏上涨动力，逢高沽空为宜</w:t>
          </w:r>
          <w:r>
            <w:rPr>
              <w:bCs/>
            </w:rPr>
            <w:fldChar w:fldCharType="end"/>
          </w:r>
        </w:p>
        <w:p>
          <w:pPr>
            <w:pStyle w:val="74"/>
            <w:tabs>
              <w:tab w:val="right" w:leader="dot" w:pos="8306"/>
            </w:tabs>
          </w:pPr>
          <w:r>
            <w:rPr>
              <w:bCs/>
            </w:rPr>
            <w:fldChar w:fldCharType="begin"/>
          </w:r>
          <w:r>
            <w:rPr>
              <w:bCs/>
            </w:rPr>
            <w:instrText xml:space="preserve"> HYPERLINK \l _Toc20176 </w:instrText>
          </w:r>
          <w:r>
            <w:rPr>
              <w:bCs/>
            </w:rPr>
            <w:fldChar w:fldCharType="separate"/>
          </w:r>
          <w:r>
            <w:rPr>
              <w:rFonts w:hint="eastAsia" w:ascii="楷体" w:hAnsi="楷体" w:eastAsia="楷体"/>
              <w:szCs w:val="24"/>
            </w:rPr>
            <w:t>不锈钢：成本支撑与需求疲弱构成矛盾，价格下方空间有限</w:t>
          </w:r>
          <w:r>
            <w:rPr>
              <w:bCs/>
            </w:rPr>
            <w:fldChar w:fldCharType="end"/>
          </w:r>
        </w:p>
        <w:p>
          <w:pPr>
            <w:pStyle w:val="74"/>
            <w:tabs>
              <w:tab w:val="right" w:leader="dot" w:pos="8306"/>
            </w:tabs>
          </w:pPr>
          <w:r>
            <w:rPr>
              <w:bCs/>
            </w:rPr>
            <w:fldChar w:fldCharType="begin"/>
          </w:r>
          <w:r>
            <w:rPr>
              <w:bCs/>
            </w:rPr>
            <w:instrText xml:space="preserve"> HYPERLINK \l _Toc14869 </w:instrText>
          </w:r>
          <w:r>
            <w:rPr>
              <w:bCs/>
            </w:rPr>
            <w:fldChar w:fldCharType="separate"/>
          </w:r>
          <w:r>
            <w:rPr>
              <w:rFonts w:hint="eastAsia" w:ascii="楷体" w:hAnsi="楷体" w:eastAsia="楷体"/>
              <w:szCs w:val="24"/>
            </w:rPr>
            <w:t>工业硅：单边驱动因素不足，短期或维持震荡运行</w:t>
          </w:r>
          <w:r>
            <w:rPr>
              <w:bCs/>
            </w:rPr>
            <w:fldChar w:fldCharType="end"/>
          </w:r>
        </w:p>
        <w:p>
          <w:pPr>
            <w:pStyle w:val="59"/>
            <w:tabs>
              <w:tab w:val="right" w:leader="dot" w:pos="8306"/>
            </w:tabs>
          </w:pPr>
          <w:r>
            <w:rPr>
              <w:bCs/>
            </w:rPr>
            <w:fldChar w:fldCharType="begin"/>
          </w:r>
          <w:r>
            <w:rPr>
              <w:bCs/>
            </w:rPr>
            <w:instrText xml:space="preserve"> HYPERLINK \l _Toc1304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_Toc18503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基本面仍存利好叠加收储传闻 短期天胶或偏强运行</w:t>
          </w:r>
          <w:r>
            <w:rPr>
              <w:bCs/>
            </w:rPr>
            <w:fldChar w:fldCharType="end"/>
          </w:r>
        </w:p>
        <w:p>
          <w:pPr>
            <w:pStyle w:val="74"/>
            <w:tabs>
              <w:tab w:val="right" w:leader="dot" w:pos="8306"/>
            </w:tabs>
          </w:pPr>
          <w:r>
            <w:rPr>
              <w:bCs/>
            </w:rPr>
            <w:fldChar w:fldCharType="begin"/>
          </w:r>
          <w:r>
            <w:rPr>
              <w:bCs/>
            </w:rPr>
            <w:instrText xml:space="preserve"> HYPERLINK \l _Toc29189 </w:instrText>
          </w:r>
          <w:r>
            <w:rPr>
              <w:bCs/>
            </w:rPr>
            <w:fldChar w:fldCharType="separate"/>
          </w:r>
          <w:r>
            <w:rPr>
              <w:rFonts w:hint="eastAsia" w:ascii="楷体" w:hAnsi="楷体" w:eastAsia="楷体"/>
              <w:szCs w:val="24"/>
            </w:rPr>
            <w:t>聚烯烃：市场多空因素交织，PE整体强于PP</w:t>
          </w:r>
          <w:r>
            <w:rPr>
              <w:bCs/>
            </w:rPr>
            <w:fldChar w:fldCharType="end"/>
          </w:r>
        </w:p>
        <w:p>
          <w:pPr>
            <w:pStyle w:val="74"/>
            <w:tabs>
              <w:tab w:val="right" w:leader="dot" w:pos="8306"/>
            </w:tabs>
          </w:pPr>
          <w:r>
            <w:rPr>
              <w:bCs/>
            </w:rPr>
            <w:fldChar w:fldCharType="begin"/>
          </w:r>
          <w:r>
            <w:rPr>
              <w:bCs/>
            </w:rPr>
            <w:instrText xml:space="preserve"> HYPERLINK \l _Toc15132 </w:instrText>
          </w:r>
          <w:r>
            <w:rPr>
              <w:bCs/>
            </w:rPr>
            <w:fldChar w:fldCharType="separate"/>
          </w:r>
          <w:r>
            <w:rPr>
              <w:rFonts w:hint="eastAsia" w:ascii="楷体" w:hAnsi="楷体" w:eastAsia="楷体"/>
              <w:szCs w:val="24"/>
            </w:rPr>
            <w:t>玻璃：现货周末大幅下跌，期价弱势震荡</w:t>
          </w:r>
          <w:r>
            <w:rPr>
              <w:bCs/>
            </w:rPr>
            <w:fldChar w:fldCharType="end"/>
          </w:r>
        </w:p>
        <w:p>
          <w:pPr>
            <w:pStyle w:val="74"/>
            <w:tabs>
              <w:tab w:val="right" w:leader="dot" w:pos="8306"/>
            </w:tabs>
          </w:pPr>
          <w:r>
            <w:rPr>
              <w:bCs/>
            </w:rPr>
            <w:fldChar w:fldCharType="begin"/>
          </w:r>
          <w:r>
            <w:rPr>
              <w:bCs/>
            </w:rPr>
            <w:instrText xml:space="preserve"> HYPERLINK \l _Toc27730 </w:instrText>
          </w:r>
          <w:r>
            <w:rPr>
              <w:bCs/>
            </w:rPr>
            <w:fldChar w:fldCharType="separate"/>
          </w:r>
          <w:r>
            <w:rPr>
              <w:rFonts w:hint="eastAsia" w:ascii="楷体" w:hAnsi="楷体" w:eastAsia="楷体"/>
              <w:szCs w:val="24"/>
            </w:rPr>
            <w:t>纯碱：上周周末产销较好，关注反弹后套保压力</w:t>
          </w:r>
          <w:r>
            <w:rPr>
              <w:bCs/>
            </w:rPr>
            <w:fldChar w:fldCharType="end"/>
          </w:r>
        </w:p>
        <w:p>
          <w:pPr>
            <w:pStyle w:val="59"/>
            <w:tabs>
              <w:tab w:val="right" w:leader="dot" w:pos="8306"/>
            </w:tabs>
          </w:pPr>
          <w:r>
            <w:rPr>
              <w:bCs/>
            </w:rPr>
            <w:fldChar w:fldCharType="begin"/>
          </w:r>
          <w:r>
            <w:rPr>
              <w:bCs/>
            </w:rPr>
            <w:instrText xml:space="preserve"> HYPERLINK \l _Toc21740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_Toc353 </w:instrText>
          </w:r>
          <w:r>
            <w:rPr>
              <w:bCs/>
            </w:rPr>
            <w:fldChar w:fldCharType="separate"/>
          </w:r>
          <w:r>
            <w:rPr>
              <w:rFonts w:hint="eastAsia" w:ascii="楷体" w:hAnsi="楷体" w:eastAsia="楷体"/>
              <w:bCs/>
            </w:rPr>
            <w:t>玉米与淀粉：</w:t>
          </w:r>
          <w:r>
            <w:rPr>
              <w:rFonts w:hint="eastAsia" w:ascii="楷体" w:hAnsi="楷体" w:eastAsia="楷体"/>
            </w:rPr>
            <w:t>期价夜盘反弹</w:t>
          </w:r>
          <w:r>
            <w:rPr>
              <w:bCs/>
            </w:rPr>
            <w:fldChar w:fldCharType="end"/>
          </w:r>
        </w:p>
        <w:p>
          <w:pPr>
            <w:pStyle w:val="74"/>
            <w:tabs>
              <w:tab w:val="right" w:leader="dot" w:pos="8306"/>
            </w:tabs>
          </w:pPr>
          <w:r>
            <w:rPr>
              <w:bCs/>
            </w:rPr>
            <w:fldChar w:fldCharType="begin"/>
          </w:r>
          <w:r>
            <w:rPr>
              <w:bCs/>
            </w:rPr>
            <w:instrText xml:space="preserve"> HYPERLINK \l _Toc30828 </w:instrText>
          </w:r>
          <w:r>
            <w:rPr>
              <w:bCs/>
            </w:rPr>
            <w:fldChar w:fldCharType="separate"/>
          </w:r>
          <w:r>
            <w:rPr>
              <w:rFonts w:hint="eastAsia" w:ascii="楷体" w:hAnsi="楷体" w:eastAsia="楷体"/>
              <w:bCs/>
            </w:rPr>
            <w:t>畜禽养殖：期价高开低走</w:t>
          </w:r>
          <w:r>
            <w:rPr>
              <w:bCs/>
            </w:rPr>
            <w:fldChar w:fldCharType="end"/>
          </w:r>
        </w:p>
        <w:p>
          <w:pPr>
            <w:pStyle w:val="59"/>
            <w:tabs>
              <w:tab w:val="right" w:leader="dot" w:pos="8306"/>
            </w:tabs>
          </w:pPr>
          <w:r>
            <w:rPr>
              <w:bCs/>
            </w:rPr>
            <w:fldChar w:fldCharType="begin"/>
          </w:r>
          <w:r>
            <w:rPr>
              <w:bCs/>
            </w:rPr>
            <w:instrText xml:space="preserve"> HYPERLINK \l _Toc20605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_Toc14689 </w:instrText>
          </w:r>
          <w:r>
            <w:rPr>
              <w:bCs/>
            </w:rPr>
            <w:fldChar w:fldCharType="separate"/>
          </w:r>
          <w:r>
            <w:rPr>
              <w:rFonts w:hint="eastAsia" w:ascii="Times New Roman" w:hAnsi="Times New Roman" w:eastAsia="楷体"/>
              <w:szCs w:val="24"/>
            </w:rPr>
            <w:t>集运指数（欧线）：新一期SCFIS欧线下跌超11%，基差收敛至700点水平</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2891"/>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17909"/>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待盘整后低多</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3月基本面政策面向上弹性不足，但短期市场调整风险总体可控，管理层重视预期管理，回应市场关切，有利于托住A股市场震荡区 间下限，结构性机会尚存。海外方面，美联储降息预期更进一步，海外环境总体有利。在4月经济和业绩的验证期尚未到来，短期主题行情可能还有一定演绎空间。</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9300"/>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1782"/>
      <w:r>
        <w:rPr>
          <w:rFonts w:hint="eastAsia" w:ascii="Times New Roman" w:hAnsi="Times New Roman" w:eastAsia="楷体"/>
          <w:b/>
          <w:color w:val="000000" w:themeColor="text1"/>
          <w:sz w:val="24"/>
          <w:szCs w:val="24"/>
          <w14:textFill>
            <w14:solidFill>
              <w14:schemeClr w14:val="tx1"/>
            </w14:solidFill>
          </w14:textFill>
        </w:rPr>
        <w:t>贵金属：静待美国CPI通胀数据公布，贵金属价格窄幅震荡</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微跌0.09%至508.04元/克；沪银涨0.16%至6156元/千克。本周关注美国CPI、PPI通胀数据公布情况，领先指标方面，CRB食品指数及油价前期表现提示食品、能源分项或仍对CPI贡献正向增量；二手车价格持续下降、房租价格环比仍为负，核心CPI同比或略微回落。欧央行管委卡兹米尔表示，现在降息将为时过早，欧央行应该等到6月份再进行首次降息。美联储本周进入噤声期，下周将公布3月议息决议。美国经济数据表现偏弱、就业市场放缓，美联储官员讲话令海外降息预期升温，美元指数、美债收益率下行，美国社区银行及商业地产板块风险显现、中东地区地缘冲突紧张局势提振避险需求，贵金属价格或偏强运行。</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13250"/>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8003"/>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碳酸锂：新能源板块情绪高涨，期价反弹</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期货价格小幅上涨，07合约收涨3.28%至116400元/吨。上周末多位美国科技行业高管讲话表示，AI未来发展与光伏和储能紧密相连。摩根斯坦利上调宁德时代评级至“超配”，预计其新一代大规模生产线将提高成本效率，扩大其在净资产收益率方面的优势。受新能源板块乐观情绪带动，周初期价反弹。2月国内碳酸锂产量约3.2万吨，环比下降21.8%，同比增5.4%，预计3月产量环比增长约30%。2月国内磷酸铁锂产量80550吨，环比下降19%，同比增13%，累计同比增32%。锂盐企业挺价情绪升温，部分企业尝试收购锂矿并交由锂盐厂代工生产碳酸锂交盘面，锂矿价格受此影响亦有所反弹。进入三月后品种或面临仓单注销压力，后续关注下游补库需求，以及江西环保督察推进情况，锂价或于窄幅区间内偏强运行。</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9719"/>
      <w:bookmarkStart w:id="19" w:name="_Toc25617"/>
      <w:bookmarkStart w:id="20" w:name="_Toc23872"/>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短期维持高位运行</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(1)库存：3月11日，SHFE仓单库存166020吨，增8550吨；LME仓单库存110850吨，减1950吨。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(2)精废价差：3月11日，Mysteel精废价差1556，扩张8。目前价差在合理价差1393之上。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上周五公布的美国非农就业报告喜忧参半，2月失业率上行、时薪水平同比增幅缩窄，但新增非农就业人数超出市场预期，美元指数连续走弱后短期继续下跌空间或有限，对铜价向上驱动受限。基本面，国内库存仍在累增中，需求未见明显转好表现， 但当下矿端依然处于偏紧格局，铜精矿加工费持续承压，传导至冶炼端供应的担忧构成铜价下方支撑，建议继续关注冶炼端产出影响，短期参考区间69000-71000，关注今晚美国CPI数据公布。</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6247"/>
      <w:bookmarkStart w:id="22" w:name="_Toc8897"/>
      <w:bookmarkStart w:id="23" w:name="_Toc16077"/>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铝价偏多看待，测试前高压力位置</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鲍威尔对联储降息发言偏鸽，目前对6月进入降息周期有较大期待，国内两会期间，经济政策持续发布释放积极信号，提振市场情绪，宏观情绪偏多。上游矿端供应偏紧，几内亚罢工暂停，氧化铝需求旺盛价格走升，强化电解铝生产成本支撑，供应端生产维 持稳定，市场传出云南复产消息，部分企业计划复产但担忧电力稳定情况，短期内快速复产产能有限，需求进入金三银四消费旺季，下游企业开工率持续回升，库存上看，铝锭库存持续累积，铝棒库存有见顶之相，海内外交易所绝对库存位置水平不高。宏观情绪利多，基本面无明显交易矛盾，市场交投热度持续推高铝价，短期偏多看待，暂看19300前高压力位。</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12443"/>
      <w:r>
        <w:rPr>
          <w:rFonts w:hint="eastAsia" w:ascii="楷体" w:hAnsi="楷体" w:eastAsia="楷体"/>
          <w:b/>
          <w:color w:val="000000" w:themeColor="text1"/>
          <w:sz w:val="24"/>
          <w:szCs w:val="24"/>
          <w14:textFill>
            <w14:solidFill>
              <w14:schemeClr w14:val="tx1"/>
            </w14:solidFill>
          </w14:textFill>
        </w:rPr>
        <w:t>锌：锌市价格趋势偏多</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非农数据支撑联储降息预期，国内两会窗口期，市场情绪偏暖，宏观利多释放。基本面上看，锌矿TC加速下行，矿端成本提供支撑，国内冶炼利润持续压缩，进口盈利窗口微启，库存绝对水平低位，需求端有政策性刺激预期叠加金三银四旺季消费，价格上方仍有想象空间，趋势偏多看待。</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5232"/>
      <w:r>
        <w:rPr>
          <w:rFonts w:hint="eastAsia" w:ascii="楷体" w:hAnsi="楷体" w:eastAsia="楷体"/>
          <w:b/>
          <w:color w:val="000000" w:themeColor="text1"/>
          <w:sz w:val="24"/>
          <w:szCs w:val="24"/>
          <w14:textFill>
            <w14:solidFill>
              <w14:schemeClr w14:val="tx1"/>
            </w14:solidFill>
          </w14:textFill>
        </w:rPr>
        <w:t>镍：镍价缺乏上涨动力，逢高沽空为宜</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期镍价的影响因素主要包括三个方面：一、消息扰动方面，印尼官员表示能矿部计划在3月底前完成所有采矿RKAB审批，市场对印尼镍矿供应不确定性的担忧情绪缓解，镍价逐步回归至基本面逻辑。二、成本方面，从中间品来看，受前期印尼华飞等MHP项目减产的影响，MHP供需偏紧，近期价格系数维持在75-80高位水平；从硫酸镍来看，此前持续性亏损压力使得硫酸镍厂家减产较多，而近期下游三元材料存在补库需求，在这种阶段性供需矛盾下短期硫酸镍价格偏强运行。三、供需方面，精炼镍产能继续释放，镍供应显著过剩的产业格局未有改变，Mysteel预计3月国内精炼镍产量预计26550吨，环比增加8.69%，同比增加56.36%，社会库存维持累库趋势。综合而言，印尼镍矿RKAB扰动已降温，短期成本走强为镍价带来支撑，而供应过剩格局及社会库存趋势性累库下镍价缺乏上涨动力，建议持逢高沽空思路。</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20176"/>
      <w:r>
        <w:rPr>
          <w:rFonts w:hint="eastAsia" w:ascii="楷体" w:hAnsi="楷体" w:eastAsia="楷体"/>
          <w:b/>
          <w:color w:val="000000" w:themeColor="text1"/>
          <w:sz w:val="24"/>
          <w:szCs w:val="24"/>
          <w14:textFill>
            <w14:solidFill>
              <w14:schemeClr w14:val="tx1"/>
            </w14:solidFill>
          </w14:textFill>
        </w:rPr>
        <w:t>不锈钢：成本支撑与需求疲弱构成矛盾，价格下方空间有限</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消息扰动方面，据印尼官员表示，印尼能矿部已经批准723家申请公司中约120家矿产公司的采矿配额申请，能矿部计划在3月底前完成所有采矿审批，预计市场对印尼镍矿供应不确定性的担忧情绪会随之缓解，价格逐渐回归至基本面逻辑。从成本来看，印尼镍矿RKAB审批缓慢使得印尼镍矿资源偏紧，推动近期镍矿和镍铁价格偏强运行，据Mysteel测算，不锈钢成本在13500-13600元/吨左右。从供需来看，不锈钢厂将陆续复产，据Mysteel预估，国内43家不锈钢厂粗钢3月排产312.03万吨，月环比增加21.4%，而节后下游成交多以刚需采购为主，未见需求明显回暖迹象，本周社会库存累库5.04%。综合而言，当前不锈钢价格的逻辑因素主要在于弱需求与高成本的矛盾，需求疲弱对价格带来压制，但成本支撑较强，不锈钢下方空间有限，持续关注需求状况及印尼镍矿RKAB审批进展。</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4869"/>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单边驱动因素不足，短期或维持震荡运行</w:t>
      </w:r>
      <w:bookmarkEnd w:id="27"/>
    </w:p>
    <w:p>
      <w:pPr>
        <w:ind w:left="630" w:leftChars="300"/>
        <w:rPr>
          <w:rFonts w:ascii="楷体" w:hAnsi="楷体" w:eastAsia="楷体"/>
          <w:sz w:val="24"/>
          <w:szCs w:val="24"/>
        </w:rPr>
      </w:pPr>
      <w:r>
        <w:rPr>
          <w:rFonts w:hint="eastAsia" w:ascii="楷体" w:hAnsi="楷体" w:eastAsia="楷体"/>
          <w:sz w:val="24"/>
          <w:szCs w:val="24"/>
        </w:rPr>
        <w:t>3月11日，Si2405主力合约呈下行走势，收盘价13190元/吨，较上一收盘价涨跌幅-0.57%。在北方供应恢复背景下，节后下游补库不及市场预期，盘面上方反弹压力仍存。但 “金三银四”传统旺季到来，有机硅需求或有改善，同时盘面处于估值相对低位，预计进一步下跌空间有限。综合而言，目前基本面暂无明显单边驱动，短期盘面或将继续维持震荡运行，参考区间13100-13600。</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1304"/>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18503"/>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基本面仍存利好叠加收储传闻 短期天胶或偏强运行</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泰国供应处于季节性收缩时期，原料价格易涨难跌，标胶到港量下降预期偏强。库存方面，国内社会库存回升，青岛深色胶即将呈现累库拐点，浅色库存同比去年上升。需求端来看，节后返工叠加国内需求的全面复苏，下游工厂陆续复工复产，开工率将恢复性提升。整体看，下游开工继续提升，但缺乏实质增量驱动，对原材料采购仍存谨慎态度，基本面表现仍存利好叠加收储炒作提振市场氛围，短期天然橡胶价格维持偏强运行，但上行空间存疑。</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29189"/>
      <w:r>
        <w:rPr>
          <w:rFonts w:hint="eastAsia" w:ascii="楷体" w:hAnsi="楷体" w:eastAsia="楷体"/>
          <w:b/>
          <w:color w:val="000000" w:themeColor="text1"/>
          <w:sz w:val="24"/>
          <w:szCs w:val="24"/>
          <w14:textFill>
            <w14:solidFill>
              <w14:schemeClr w14:val="tx1"/>
            </w14:solidFill>
          </w14:textFill>
        </w:rPr>
        <w:t>聚烯烃：市场多空因素交织，PE整体强于PP</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聚烯烃上游石化库存为99万吨，较春节前累库41.5万吨，与去年同期相比增幅较大，库存压力较大。聚烯烃自身开工负荷变动不大，但下游进入集中停工期，春节期间开工率大幅走低，需求降至年内冰点。进口方面，LL进口窗口打开，PP进口窗口关闭。聚烯烃基本面变动不大，建议逢低多L，逢高空PP性价比更高。</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15132"/>
      <w:r>
        <w:rPr>
          <w:rFonts w:hint="eastAsia" w:ascii="楷体" w:hAnsi="楷体" w:eastAsia="楷体"/>
          <w:b/>
          <w:color w:val="000000" w:themeColor="text1"/>
          <w:sz w:val="24"/>
          <w:szCs w:val="24"/>
          <w14:textFill>
            <w14:solidFill>
              <w14:schemeClr w14:val="tx1"/>
            </w14:solidFill>
          </w14:textFill>
        </w:rPr>
        <w:t>玻璃：现货周末大幅下跌，期价弱势震荡</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3月11日报道：今日浮法玻璃现货价格1929元/吨，较上一交易日-45元/吨。供给上，全国浮法玻璃日产量为17.37万吨，比29日+0.78%。库存上，截止到20240307，全国浮法玻璃样本企业总库存5924.3万重箱，环比+352.1万重箱，环比+6.32%，从本周产销来看，较上周下滑明显。从需求看，下游元宵节后开始动工，但恢复较慢，上游沙河湖北主产区原片厂和中游贸易商库存持续积累，有待消化，周内降价清库，下游回款差，补库谨慎，刚需为主。盘面上受周末现货降价影响，期价跌破年线后继续下行，短线情绪偏空，但05主力合约已接近部分燃气企业成本线，建议空单注意减仓止盈离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27730"/>
      <w:r>
        <w:rPr>
          <w:rFonts w:hint="eastAsia" w:ascii="楷体" w:hAnsi="楷体" w:eastAsia="楷体"/>
          <w:b/>
          <w:color w:val="000000" w:themeColor="text1"/>
          <w:sz w:val="24"/>
          <w:szCs w:val="24"/>
          <w14:textFill>
            <w14:solidFill>
              <w14:schemeClr w14:val="tx1"/>
            </w14:solidFill>
          </w14:textFill>
        </w:rPr>
        <w:t>纯碱：上周周末产销较好，关注反弹后套保压力</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周内纯碱现货端稳价，河北、河南等地重碱价格在1950-2000元/吨附近成交较多，消息面上碱厂联合挺价，下周部分碱厂计划涨价刺激下游补库。从供给端来看，隆众资讯3月7日报道：本周纯碱产量74.71万吨，环比增加0.4万吨，涨幅0.54%，3月中下旬有部分检修计划检修，同期青海地区产量回升，预计周度产量维持在72-73万吨附近。从库存上看，周一隆众数据显示：国内纯碱厂家总库存79.67万吨，环比上周四下降7.37万吨，降幅8.47%，去库良好。需求上，玻璃厂重碱有进口碱补充，维持刚需；轻碱下游，短期轻碱价格回升，刺激下游开始补库，从刚需来看，周度表需大约在63-64万吨，纯碱要大幅去库，那么周度表需要提升到75万吨以上，下游消耗空间有限，补库时间可能在1-2周，大规模集中补库或难以长时间持续。盘面的上周受到消息面和去库刺激反弹，但在未看到供给端减产之前，中期累库趋势难改，期价收至平水或小幅升水位置，给期现和碱厂较好的套保和套利空间。操作上，观望为主，等待反弹结束高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21740"/>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ascii="楷体" w:hAnsi="楷体" w:eastAsia="楷体"/>
          <w:b/>
        </w:rPr>
      </w:pPr>
      <w:bookmarkStart w:id="35" w:name="_Toc35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期价夜盘反弹</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节后以来期现货上涨之后，期价转为震荡调整，市场可能存在两个方面的担忧，其一是担心为后期气温上升之后，余粮特别是地趴粮带来的供应压力；其二是担心进口储备投放，再加上国内价格上涨使得内外价差走扩，市场会担心进口增量来补充国内玉米产需缺口。换句话说，市场短期会再度担心阶段性供应压力，中长期产需缺口预期转变亦尚未成为市场共识，这需要市场逐步证实。我们维持谨慎看多观点，建议投资者持有前期多单，如无前期多单则可考虑择机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价差收窄主要源于副产品端，即蛋白粕大幅反弹带来副产品价格回升的担忧，但其他三个方面暂存在支撑，行业供需中淀粉行业库存已经连续两周下滑，原料端华北-东北玉米价差小幅走扩，而现货基差则再度走强。在我们看来，考虑到盘面生产利润已进入亏损状况，在副产品和行业供需尚未确认之前，暂不适合入场做缩淀粉-玉米价差。综上所述，我们持谨慎看多观点，建议节前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6" w:name="_Toc30828"/>
      <w:r>
        <w:rPr>
          <w:rFonts w:hint="eastAsia" w:ascii="楷体" w:hAnsi="楷体" w:eastAsia="楷体"/>
          <w:b/>
          <w:bCs/>
          <w:color w:val="000000" w:themeColor="text1"/>
          <w14:textFill>
            <w14:solidFill>
              <w14:schemeClr w14:val="tx1"/>
            </w14:solidFill>
          </w14:textFill>
        </w:rPr>
        <w:t>畜禽养殖：期价高开低走</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目前期价结构呈现远月升水结构，表明市场对远期供需预期趋于乐观，这主要源于产能去化即能繁母猪存栏的持续下降，但市场对其改善幅度存在分歧，特别是春节前仔猪现货价格大幅上涨之后，因其使得母猪养殖变得盈利，这将抑制产能的继续去化。而对于近期供需而言 ，从农业农村部公布的四季度末生猪存栏可以看出，生猪供应有望低于去年同期，但考虑到需求季节性因素，能否改变供需格局尚未可知，去年四季度豆粕和玉米的大幅下跌，生猪养殖饲料成本显著低于去年同期，在这种供需格局和饲料成本的背景下，接下来的现货涨幅存在不确定性。当前期价近强远弱，近月基差走弱，而远月基差走强，表明市场相对看多近月，这主要源于市场的惜售心理和潜在的二次育肥，这种走势与去年2月期间颇为相似，在这种情况下，需要特别留意接下来的现货走势。据此我们维持中性观点，建议谨慎投资者观望，激进投资者可以考虑短线操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分析市场可以看出，节前期价持续下跌，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养殖户淘汰积极性持续较高。考虑到节后现货已季节性回落，中期与短期利空因素或已经在很大程度上得以释放，继续下跌空间或有限，接下来或震荡反弹或趋于调整。我们维持中性观点，建议投资者观望，可考虑参与短线操作。</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37" w:name="_Toc20605"/>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14689"/>
      <w:r>
        <w:rPr>
          <w:rFonts w:hint="eastAsia" w:ascii="Times New Roman" w:hAnsi="Times New Roman" w:eastAsia="楷体"/>
          <w:b/>
          <w:color w:val="000000" w:themeColor="text1"/>
          <w:sz w:val="24"/>
          <w:szCs w:val="24"/>
          <w14:textFill>
            <w14:solidFill>
              <w14:schemeClr w14:val="tx1"/>
            </w14:solidFill>
          </w14:textFill>
        </w:rPr>
        <w:t>集运指数（欧线）：新一期SCFIS欧线下跌超11%，基差收敛至700点水平</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盘后公布SCFIS欧洲航线运价指数为2533.68点，环比下行11.1%。目前主力合约贴水标的现货指数近700点，基差进一步得到收敛。3月8日，上海港出口至欧洲基本港市场运价为2134美元/TEU，较上期下跌6.3%。同时根据最新消息达飞重新评估红海南部地区的情况，考虑个别船只通航红海。</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由于地缘局势对亚欧航线造成的影响逐步平稳，供需基本面成为近期影响市场运价的重要因素。过去一周运输需求增长缓慢，供求平衡情况不理想，市场运价继续下行。</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方面，春节后工厂开工、货运需求进入淡季。因此周期性因素拖动EC转弱势，但目前期价贴水仍然较深，同时目前至4月交割日时间有限，现货价格逐步向下收敛，但期货下限空间或有限，因此预计期货价格继续弱震荡。</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98426751"/>
      <w:bookmarkStart w:id="40" w:name="_Toc72481108"/>
      <w:bookmarkStart w:id="41" w:name="_Toc12779"/>
      <w:bookmarkStart w:id="42" w:name="_Toc71212556"/>
      <w:bookmarkStart w:id="43" w:name="_Toc19667"/>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2024年3月12日星期二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57D13AE"/>
    <w:rsid w:val="064A667C"/>
    <w:rsid w:val="06B2613D"/>
    <w:rsid w:val="06B753E3"/>
    <w:rsid w:val="08A51999"/>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4E6356"/>
    <w:rsid w:val="13AE24B4"/>
    <w:rsid w:val="15364A7C"/>
    <w:rsid w:val="15602ADB"/>
    <w:rsid w:val="15D52593"/>
    <w:rsid w:val="197E6634"/>
    <w:rsid w:val="1B8A2034"/>
    <w:rsid w:val="1BC72FF7"/>
    <w:rsid w:val="1D03226A"/>
    <w:rsid w:val="1D5030CD"/>
    <w:rsid w:val="1D876087"/>
    <w:rsid w:val="1DFF64E4"/>
    <w:rsid w:val="1ECB51CD"/>
    <w:rsid w:val="1FDC1B35"/>
    <w:rsid w:val="2056595D"/>
    <w:rsid w:val="20AE4DE8"/>
    <w:rsid w:val="21194658"/>
    <w:rsid w:val="216834DE"/>
    <w:rsid w:val="21996AC1"/>
    <w:rsid w:val="219F3EE2"/>
    <w:rsid w:val="21F57098"/>
    <w:rsid w:val="22BB5089"/>
    <w:rsid w:val="24321B2E"/>
    <w:rsid w:val="244B21DE"/>
    <w:rsid w:val="245C7DFE"/>
    <w:rsid w:val="247F3074"/>
    <w:rsid w:val="24B82D9D"/>
    <w:rsid w:val="258A2E5C"/>
    <w:rsid w:val="25B924F3"/>
    <w:rsid w:val="25E06B30"/>
    <w:rsid w:val="268419CF"/>
    <w:rsid w:val="26AC2D80"/>
    <w:rsid w:val="26F95364"/>
    <w:rsid w:val="29A303B9"/>
    <w:rsid w:val="2B9C319C"/>
    <w:rsid w:val="2C1D776C"/>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2EB3BA1"/>
    <w:rsid w:val="43F63E0D"/>
    <w:rsid w:val="44092E2E"/>
    <w:rsid w:val="441077D2"/>
    <w:rsid w:val="44396064"/>
    <w:rsid w:val="459609D9"/>
    <w:rsid w:val="45A37566"/>
    <w:rsid w:val="45CF0A85"/>
    <w:rsid w:val="46194A11"/>
    <w:rsid w:val="47752ACA"/>
    <w:rsid w:val="47C813F2"/>
    <w:rsid w:val="4A6F6249"/>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7F46FBE"/>
    <w:rsid w:val="58042686"/>
    <w:rsid w:val="58246D5D"/>
    <w:rsid w:val="58EC5960"/>
    <w:rsid w:val="59151C86"/>
    <w:rsid w:val="59C52328"/>
    <w:rsid w:val="5AD37D8A"/>
    <w:rsid w:val="5B906095"/>
    <w:rsid w:val="5BF60A75"/>
    <w:rsid w:val="5C9F2D01"/>
    <w:rsid w:val="5D5617A6"/>
    <w:rsid w:val="5D716329"/>
    <w:rsid w:val="5EA23F15"/>
    <w:rsid w:val="5EA7685B"/>
    <w:rsid w:val="5ED40954"/>
    <w:rsid w:val="60BE22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D9172E5"/>
    <w:rsid w:val="6E133456"/>
    <w:rsid w:val="6ECB7DD2"/>
    <w:rsid w:val="6F79454F"/>
    <w:rsid w:val="6FE61065"/>
    <w:rsid w:val="70675779"/>
    <w:rsid w:val="713E0334"/>
    <w:rsid w:val="716F5E64"/>
    <w:rsid w:val="72417AFE"/>
    <w:rsid w:val="729B5F03"/>
    <w:rsid w:val="72D92B78"/>
    <w:rsid w:val="72F62A89"/>
    <w:rsid w:val="737357AF"/>
    <w:rsid w:val="74163BE4"/>
    <w:rsid w:val="75292EAC"/>
    <w:rsid w:val="755A5FEF"/>
    <w:rsid w:val="75775016"/>
    <w:rsid w:val="758E0106"/>
    <w:rsid w:val="7626762C"/>
    <w:rsid w:val="778F5135"/>
    <w:rsid w:val="77B53D6B"/>
    <w:rsid w:val="77D54B08"/>
    <w:rsid w:val="784F7772"/>
    <w:rsid w:val="78713929"/>
    <w:rsid w:val="78E55995"/>
    <w:rsid w:val="79267C0B"/>
    <w:rsid w:val="79C90FB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2024-03-12T01:56:21Z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