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_Toc4406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_Toc19340 </w:instrText>
          </w:r>
          <w:r>
            <w:rPr>
              <w:bCs/>
            </w:rPr>
            <w:fldChar w:fldCharType="separate"/>
          </w:r>
          <w:r>
            <w:rPr>
              <w:rFonts w:hint="eastAsia" w:ascii="Times New Roman" w:hAnsi="Times New Roman" w:eastAsia="楷体"/>
              <w:szCs w:val="24"/>
            </w:rPr>
            <w:t>股指：待盘整后低多</w:t>
          </w:r>
          <w:r>
            <w:rPr>
              <w:bCs/>
            </w:rPr>
            <w:fldChar w:fldCharType="end"/>
          </w:r>
        </w:p>
        <w:p>
          <w:pPr>
            <w:pStyle w:val="59"/>
            <w:tabs>
              <w:tab w:val="right" w:leader="dot" w:pos="8306"/>
            </w:tabs>
          </w:pPr>
          <w:r>
            <w:rPr>
              <w:bCs/>
            </w:rPr>
            <w:fldChar w:fldCharType="begin"/>
          </w:r>
          <w:r>
            <w:rPr>
              <w:bCs/>
            </w:rPr>
            <w:instrText xml:space="preserve"> HYPERLINK \l _Toc17652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_Toc12596 </w:instrText>
          </w:r>
          <w:r>
            <w:rPr>
              <w:bCs/>
            </w:rPr>
            <w:fldChar w:fldCharType="separate"/>
          </w:r>
          <w:r>
            <w:rPr>
              <w:rFonts w:hint="eastAsia" w:ascii="Times New Roman" w:hAnsi="Times New Roman" w:eastAsia="楷体"/>
              <w:szCs w:val="24"/>
            </w:rPr>
            <w:t>贵金属：褐皮书报告显示美国经济略有增长，贵金属价格上涨</w:t>
          </w:r>
          <w:r>
            <w:rPr>
              <w:bCs/>
            </w:rPr>
            <w:fldChar w:fldCharType="end"/>
          </w:r>
        </w:p>
        <w:p>
          <w:pPr>
            <w:pStyle w:val="59"/>
            <w:tabs>
              <w:tab w:val="right" w:leader="dot" w:pos="8306"/>
            </w:tabs>
          </w:pPr>
          <w:r>
            <w:rPr>
              <w:bCs/>
            </w:rPr>
            <w:fldChar w:fldCharType="begin"/>
          </w:r>
          <w:r>
            <w:rPr>
              <w:bCs/>
            </w:rPr>
            <w:instrText xml:space="preserve"> HYPERLINK \l _Toc11777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_Toc21022 </w:instrText>
          </w:r>
          <w:r>
            <w:rPr>
              <w:bCs/>
            </w:rPr>
            <w:fldChar w:fldCharType="separate"/>
          </w:r>
          <w:r>
            <w:rPr>
              <w:rFonts w:hint="eastAsia" w:ascii="楷体" w:hAnsi="楷体" w:eastAsia="楷体"/>
              <w:szCs w:val="24"/>
            </w:rPr>
            <w:t>碳酸锂：智利2月锂盐出口环比高增，期价小幅下跌</w:t>
          </w:r>
          <w:r>
            <w:rPr>
              <w:bCs/>
            </w:rPr>
            <w:fldChar w:fldCharType="end"/>
          </w:r>
        </w:p>
        <w:p>
          <w:pPr>
            <w:pStyle w:val="74"/>
            <w:tabs>
              <w:tab w:val="right" w:leader="dot" w:pos="8306"/>
            </w:tabs>
          </w:pPr>
          <w:r>
            <w:rPr>
              <w:bCs/>
            </w:rPr>
            <w:fldChar w:fldCharType="begin"/>
          </w:r>
          <w:r>
            <w:rPr>
              <w:bCs/>
            </w:rPr>
            <w:instrText xml:space="preserve"> HYPERLINK \l _Toc14503 </w:instrText>
          </w:r>
          <w:r>
            <w:rPr>
              <w:bCs/>
            </w:rPr>
            <w:fldChar w:fldCharType="separate"/>
          </w:r>
          <w:r>
            <w:rPr>
              <w:rFonts w:hint="eastAsia" w:ascii="楷体" w:hAnsi="楷体" w:eastAsia="楷体"/>
              <w:szCs w:val="24"/>
            </w:rPr>
            <w:t>铜：美元指数下跌提振铜价</w:t>
          </w:r>
          <w:r>
            <w:rPr>
              <w:bCs/>
            </w:rPr>
            <w:fldChar w:fldCharType="end"/>
          </w:r>
        </w:p>
        <w:p>
          <w:pPr>
            <w:pStyle w:val="74"/>
            <w:tabs>
              <w:tab w:val="right" w:leader="dot" w:pos="8306"/>
            </w:tabs>
          </w:pPr>
          <w:r>
            <w:rPr>
              <w:bCs/>
            </w:rPr>
            <w:fldChar w:fldCharType="begin"/>
          </w:r>
          <w:r>
            <w:rPr>
              <w:bCs/>
            </w:rPr>
            <w:instrText xml:space="preserve"> HYPERLINK \l _Toc25888 </w:instrText>
          </w:r>
          <w:r>
            <w:rPr>
              <w:bCs/>
            </w:rPr>
            <w:fldChar w:fldCharType="separate"/>
          </w:r>
          <w:r>
            <w:rPr>
              <w:rFonts w:hint="eastAsia" w:ascii="楷体" w:hAnsi="楷体" w:eastAsia="楷体"/>
              <w:szCs w:val="24"/>
            </w:rPr>
            <w:t>铝：宏观+基本面情绪共振，价格偏多看待</w:t>
          </w:r>
          <w:r>
            <w:rPr>
              <w:bCs/>
            </w:rPr>
            <w:fldChar w:fldCharType="end"/>
          </w:r>
        </w:p>
        <w:p>
          <w:pPr>
            <w:pStyle w:val="74"/>
            <w:tabs>
              <w:tab w:val="right" w:leader="dot" w:pos="8306"/>
            </w:tabs>
          </w:pPr>
          <w:r>
            <w:rPr>
              <w:bCs/>
            </w:rPr>
            <w:fldChar w:fldCharType="begin"/>
          </w:r>
          <w:r>
            <w:rPr>
              <w:bCs/>
            </w:rPr>
            <w:instrText xml:space="preserve"> HYPERLINK \l _Toc30054 </w:instrText>
          </w:r>
          <w:r>
            <w:rPr>
              <w:bCs/>
            </w:rPr>
            <w:fldChar w:fldCharType="separate"/>
          </w:r>
          <w:r>
            <w:rPr>
              <w:rFonts w:hint="eastAsia" w:ascii="楷体" w:hAnsi="楷体" w:eastAsia="楷体"/>
              <w:szCs w:val="24"/>
            </w:rPr>
            <w:t>锌：锌市价格偏多看待</w:t>
          </w:r>
          <w:r>
            <w:rPr>
              <w:bCs/>
            </w:rPr>
            <w:fldChar w:fldCharType="end"/>
          </w:r>
        </w:p>
        <w:p>
          <w:pPr>
            <w:pStyle w:val="74"/>
            <w:tabs>
              <w:tab w:val="right" w:leader="dot" w:pos="8306"/>
            </w:tabs>
          </w:pPr>
          <w:r>
            <w:rPr>
              <w:bCs/>
            </w:rPr>
            <w:fldChar w:fldCharType="begin"/>
          </w:r>
          <w:r>
            <w:rPr>
              <w:bCs/>
            </w:rPr>
            <w:instrText xml:space="preserve"> HYPERLINK \l _Toc8623 </w:instrText>
          </w:r>
          <w:r>
            <w:rPr>
              <w:bCs/>
            </w:rPr>
            <w:fldChar w:fldCharType="separate"/>
          </w:r>
          <w:r>
            <w:rPr>
              <w:rFonts w:hint="eastAsia" w:ascii="楷体" w:hAnsi="楷体" w:eastAsia="楷体"/>
              <w:szCs w:val="24"/>
            </w:rPr>
            <w:t>镍：印尼镍矿供应不确定性缓解，预计镍价偏弱运行</w:t>
          </w:r>
          <w:r>
            <w:rPr>
              <w:bCs/>
            </w:rPr>
            <w:fldChar w:fldCharType="end"/>
          </w:r>
        </w:p>
        <w:p>
          <w:pPr>
            <w:pStyle w:val="74"/>
            <w:tabs>
              <w:tab w:val="right" w:leader="dot" w:pos="8306"/>
            </w:tabs>
          </w:pPr>
          <w:r>
            <w:rPr>
              <w:bCs/>
            </w:rPr>
            <w:fldChar w:fldCharType="begin"/>
          </w:r>
          <w:r>
            <w:rPr>
              <w:bCs/>
            </w:rPr>
            <w:instrText xml:space="preserve"> HYPERLINK \l _Toc27381 </w:instrText>
          </w:r>
          <w:r>
            <w:rPr>
              <w:bCs/>
            </w:rPr>
            <w:fldChar w:fldCharType="separate"/>
          </w:r>
          <w:r>
            <w:rPr>
              <w:rFonts w:hint="eastAsia" w:ascii="楷体" w:hAnsi="楷体" w:eastAsia="楷体"/>
              <w:szCs w:val="24"/>
            </w:rPr>
            <w:t>不锈钢：下游需求偏淡，预计价格偏弱震荡</w:t>
          </w:r>
          <w:r>
            <w:rPr>
              <w:bCs/>
            </w:rPr>
            <w:fldChar w:fldCharType="end"/>
          </w:r>
        </w:p>
        <w:p>
          <w:pPr>
            <w:pStyle w:val="74"/>
            <w:tabs>
              <w:tab w:val="right" w:leader="dot" w:pos="8306"/>
            </w:tabs>
          </w:pPr>
          <w:r>
            <w:rPr>
              <w:bCs/>
            </w:rPr>
            <w:fldChar w:fldCharType="begin"/>
          </w:r>
          <w:r>
            <w:rPr>
              <w:bCs/>
            </w:rPr>
            <w:instrText xml:space="preserve"> HYPERLINK \l _Toc13427 </w:instrText>
          </w:r>
          <w:r>
            <w:rPr>
              <w:bCs/>
            </w:rPr>
            <w:fldChar w:fldCharType="separate"/>
          </w:r>
          <w:r>
            <w:rPr>
              <w:rFonts w:hint="eastAsia" w:ascii="楷体" w:hAnsi="楷体" w:eastAsia="楷体"/>
              <w:szCs w:val="24"/>
            </w:rPr>
            <w:t>工业硅：供需双增预期，短期或维持震荡运行</w:t>
          </w:r>
          <w:r>
            <w:rPr>
              <w:bCs/>
            </w:rPr>
            <w:fldChar w:fldCharType="end"/>
          </w:r>
        </w:p>
        <w:p>
          <w:pPr>
            <w:pStyle w:val="59"/>
            <w:tabs>
              <w:tab w:val="right" w:leader="dot" w:pos="8306"/>
            </w:tabs>
          </w:pPr>
          <w:r>
            <w:rPr>
              <w:bCs/>
            </w:rPr>
            <w:fldChar w:fldCharType="begin"/>
          </w:r>
          <w:r>
            <w:rPr>
              <w:bCs/>
            </w:rPr>
            <w:instrText xml:space="preserve"> HYPERLINK \l _Toc30970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_Toc21906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轮胎厂高开工与港口高库存并存 胶价短期或出现回调</w:t>
          </w:r>
          <w:r>
            <w:rPr>
              <w:bCs/>
            </w:rPr>
            <w:fldChar w:fldCharType="end"/>
          </w:r>
        </w:p>
        <w:p>
          <w:pPr>
            <w:pStyle w:val="74"/>
            <w:tabs>
              <w:tab w:val="right" w:leader="dot" w:pos="8306"/>
            </w:tabs>
          </w:pPr>
          <w:r>
            <w:rPr>
              <w:bCs/>
            </w:rPr>
            <w:fldChar w:fldCharType="begin"/>
          </w:r>
          <w:r>
            <w:rPr>
              <w:bCs/>
            </w:rPr>
            <w:instrText xml:space="preserve"> HYPERLINK \l _Toc22968 </w:instrText>
          </w:r>
          <w:r>
            <w:rPr>
              <w:bCs/>
            </w:rPr>
            <w:fldChar w:fldCharType="separate"/>
          </w:r>
          <w:r>
            <w:rPr>
              <w:rFonts w:hint="eastAsia" w:ascii="楷体" w:hAnsi="楷体" w:eastAsia="楷体"/>
              <w:szCs w:val="24"/>
            </w:rPr>
            <w:t>聚烯烃：市场多空因素交织，L整体强于PP</w:t>
          </w:r>
          <w:r>
            <w:rPr>
              <w:bCs/>
            </w:rPr>
            <w:fldChar w:fldCharType="end"/>
          </w:r>
        </w:p>
        <w:p>
          <w:pPr>
            <w:pStyle w:val="74"/>
            <w:tabs>
              <w:tab w:val="right" w:leader="dot" w:pos="8306"/>
            </w:tabs>
          </w:pPr>
          <w:r>
            <w:rPr>
              <w:bCs/>
            </w:rPr>
            <w:fldChar w:fldCharType="begin"/>
          </w:r>
          <w:r>
            <w:rPr>
              <w:bCs/>
            </w:rPr>
            <w:instrText xml:space="preserve"> HYPERLINK \l _Toc30251 </w:instrText>
          </w:r>
          <w:r>
            <w:rPr>
              <w:bCs/>
            </w:rPr>
            <w:fldChar w:fldCharType="separate"/>
          </w:r>
          <w:r>
            <w:rPr>
              <w:rFonts w:hint="eastAsia" w:ascii="楷体" w:hAnsi="楷体" w:eastAsia="楷体"/>
              <w:szCs w:val="24"/>
            </w:rPr>
            <w:t>玻璃：现货价格下跌，期价弱震荡</w:t>
          </w:r>
          <w:r>
            <w:rPr>
              <w:bCs/>
            </w:rPr>
            <w:fldChar w:fldCharType="end"/>
          </w:r>
        </w:p>
        <w:p>
          <w:pPr>
            <w:pStyle w:val="74"/>
            <w:tabs>
              <w:tab w:val="right" w:leader="dot" w:pos="8306"/>
            </w:tabs>
          </w:pPr>
          <w:r>
            <w:rPr>
              <w:bCs/>
            </w:rPr>
            <w:fldChar w:fldCharType="begin"/>
          </w:r>
          <w:r>
            <w:rPr>
              <w:bCs/>
            </w:rPr>
            <w:instrText xml:space="preserve"> HYPERLINK \l _Toc526 </w:instrText>
          </w:r>
          <w:r>
            <w:rPr>
              <w:bCs/>
            </w:rPr>
            <w:fldChar w:fldCharType="separate"/>
          </w:r>
          <w:r>
            <w:rPr>
              <w:rFonts w:hint="eastAsia" w:ascii="楷体" w:hAnsi="楷体" w:eastAsia="楷体"/>
              <w:szCs w:val="24"/>
            </w:rPr>
            <w:t>纯碱：基本面偏弱，关注套保压力</w:t>
          </w:r>
          <w:r>
            <w:rPr>
              <w:bCs/>
            </w:rPr>
            <w:fldChar w:fldCharType="end"/>
          </w:r>
        </w:p>
        <w:p>
          <w:pPr>
            <w:pStyle w:val="59"/>
            <w:tabs>
              <w:tab w:val="right" w:leader="dot" w:pos="8306"/>
            </w:tabs>
          </w:pPr>
          <w:r>
            <w:rPr>
              <w:bCs/>
            </w:rPr>
            <w:fldChar w:fldCharType="begin"/>
          </w:r>
          <w:r>
            <w:rPr>
              <w:bCs/>
            </w:rPr>
            <w:instrText xml:space="preserve"> HYPERLINK \l _Toc26335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_Toc23154 </w:instrText>
          </w:r>
          <w:r>
            <w:rPr>
              <w:bCs/>
            </w:rPr>
            <w:fldChar w:fldCharType="separate"/>
          </w:r>
          <w:r>
            <w:rPr>
              <w:rFonts w:hint="eastAsia" w:ascii="楷体" w:hAnsi="楷体" w:eastAsia="楷体"/>
              <w:bCs/>
            </w:rPr>
            <w:t>玉米与淀粉：</w:t>
          </w:r>
          <w:r>
            <w:rPr>
              <w:rFonts w:hint="eastAsia" w:ascii="楷体" w:hAnsi="楷体" w:eastAsia="楷体"/>
            </w:rPr>
            <w:t>期价震荡分化运行</w:t>
          </w:r>
          <w:r>
            <w:rPr>
              <w:bCs/>
            </w:rPr>
            <w:fldChar w:fldCharType="end"/>
          </w:r>
        </w:p>
        <w:p>
          <w:pPr>
            <w:pStyle w:val="74"/>
            <w:tabs>
              <w:tab w:val="right" w:leader="dot" w:pos="8306"/>
            </w:tabs>
          </w:pPr>
          <w:r>
            <w:rPr>
              <w:bCs/>
            </w:rPr>
            <w:fldChar w:fldCharType="begin"/>
          </w:r>
          <w:r>
            <w:rPr>
              <w:bCs/>
            </w:rPr>
            <w:instrText xml:space="preserve"> HYPERLINK \l _Toc10067 </w:instrText>
          </w:r>
          <w:r>
            <w:rPr>
              <w:bCs/>
            </w:rPr>
            <w:fldChar w:fldCharType="separate"/>
          </w:r>
          <w:r>
            <w:rPr>
              <w:rFonts w:hint="eastAsia" w:ascii="楷体" w:hAnsi="楷体" w:eastAsia="楷体"/>
              <w:bCs/>
            </w:rPr>
            <w:t>畜禽养殖：期价近强远弱分化运行</w:t>
          </w:r>
          <w:r>
            <w:rPr>
              <w:bCs/>
            </w:rPr>
            <w:fldChar w:fldCharType="end"/>
          </w:r>
        </w:p>
        <w:p>
          <w:pPr>
            <w:pStyle w:val="59"/>
            <w:tabs>
              <w:tab w:val="right" w:leader="dot" w:pos="8306"/>
            </w:tabs>
          </w:pPr>
          <w:r>
            <w:rPr>
              <w:bCs/>
            </w:rPr>
            <w:fldChar w:fldCharType="begin"/>
          </w:r>
          <w:r>
            <w:rPr>
              <w:bCs/>
            </w:rPr>
            <w:instrText xml:space="preserve"> HYPERLINK \l _Toc24789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_Toc20238 </w:instrText>
          </w:r>
          <w:r>
            <w:rPr>
              <w:bCs/>
            </w:rPr>
            <w:fldChar w:fldCharType="separate"/>
          </w:r>
          <w:r>
            <w:rPr>
              <w:rFonts w:hint="eastAsia" w:ascii="Times New Roman" w:hAnsi="Times New Roman" w:eastAsia="楷体"/>
              <w:szCs w:val="24"/>
            </w:rPr>
            <w:t>集运指数（欧线）：EC弱势震荡，基本面利多因素逐步消退</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4406"/>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19340"/>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待盘整后低多</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盘后十四届全国人大二次会议召开经济主题记者会，其中吴主席直面A股市场根本问题，强调“二者是一体两面的、不能分割的”、强调“投融资平衡发展”。一是IPO，严把入口，全力把造假者挡在资本市场门外。二是狠抓日常、加强监管，防假打假、规范减持（包括转融通的问题）、推动分红。三是畅通出口，即加大退市力度。四是压实责任，既包括控股股东、实控人、董监高的责任，也包括监管部门、行业主管部门、地方政府还有各类专业中介机构的责任。针对市场存在问题及股民切身利益，监管部门一针见血并逐步解决，是信心修复的关键所在。从近期市场表现情况来看，上证指数步入3000点之上后，多空双方的分歧明显增大，随着重要会议议程结束，政策将持续保持较强定力，意味着市场再度二次探底的可能性不大，但市场反弹至今，若想延续指数级别的贝塔行情，仍需要基本面的进一步催化，3月份及二季度的经济数据较为关键，一定程度将市场对全年的经济复苏预期。目前大部分投资者也是在一个边做边看的过程，短线预计市场在3000关口附近上下盘整，建议获利盘可部分逢高止盈，待调整后入场。</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7652"/>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2596"/>
      <w:r>
        <w:rPr>
          <w:rFonts w:hint="eastAsia" w:ascii="Times New Roman" w:hAnsi="Times New Roman" w:eastAsia="楷体"/>
          <w:b/>
          <w:color w:val="000000" w:themeColor="text1"/>
          <w:sz w:val="24"/>
          <w:szCs w:val="24"/>
          <w14:textFill>
            <w14:solidFill>
              <w14:schemeClr w14:val="tx1"/>
            </w14:solidFill>
          </w14:textFill>
        </w:rPr>
        <w:t>贵金属：褐皮书报告显示美国经济略有增长，贵金属价格上涨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美国经济数据走弱令海外降息预期升温，沪金涨0.76%至503.5元/克，沪银涨0.85%至6176元/千克。加拿大央行利率维持在5%不变，符合市场预期。美联储鲍威尔主席重申，可能适合在今年某个时候开始降息，前提是需要对通胀回落至目标更有信心。美联储褐皮书显示，年初以来总体上经济活动略有增长，其中八个地区报告活动轻微到适度增长，另外三个地区报告没有变化，一个地区指出活动略有减弱；大多数地区就业增长速度为“略有增加”至“适度增长”；未来经济增长前景普遍积极，预计未来6至12个月内需求将增强，金融条件将更加宽松。关注周五美国非农就业人数、失业率等就业数据更新，经济数据表现偏弱，降息预期升温，贵金属价格或偏强运行。</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11777"/>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1022"/>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碳酸锂：智利2月锂盐出口环比高增，期价小幅下跌</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小幅上涨，期价低开后盘中收复部分跌幅，07合约收跌1.17%至114000元/吨。前期期价上涨主要受前期环保等消息面因素，以及年后需求回暖的先行预期所带动，暂缺乏基本面支撑。智利2月出口锂盐到中国约1.6万吨，环比增速超60%，对3月供应贡献增量，一定程度上或亦带来利空影响。3月下游排产环比上升，由于年前下游已进行部分备货，采购需求有待进一步观察，暂未见大幅补库。随前期检修、假期复工后产量恢复，SMM预计3月碳酸锂月产量或环比增约38%。消息面影响逐步消化，进入三月后品种或面临仓单注销压力，部分现货流入市场或为供应贡献增量。后续留意进口数据及下游补库需求兑现情况，期价短期内或维持区间震荡。</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9719"/>
      <w:bookmarkStart w:id="19" w:name="_Toc25617"/>
      <w:bookmarkStart w:id="20" w:name="_Toc14503"/>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美元指数下跌提振铜价</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(1)宏观：2月份全球制造业采购经理指数为49.1%，较上月下降0.2个百分点，连续2个月稳定在49%以上，高于去年四季度47.9%的平均水平。</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(2)库存：3月6日，SHFE仓单库存143620吨，增6559吨；LME仓单库存113775吨，减300吨。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(3)精废价差：3月6日，Mysteel精废价差1434，收窄24。目前价差在合理价差1389之上。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海外关注本周五美国非农数据，若就业数据走弱，可能再次强化短期降息预期。国内从目前两会前释放的信息看，政策仍然以托底性质为主，大概率没有强力度的政策。基本面，铜精矿TC短暂企稳后继续下行，建议持续关注冶炼端产出情况。当前国内库存持续累增，需求在逐步验证中，短期价格驱动不明显，震荡为主，参考区间68500-69500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6247"/>
      <w:bookmarkStart w:id="22" w:name="_Toc8897"/>
      <w:bookmarkStart w:id="23" w:name="_Toc25888"/>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宏观+基本面情绪共振，价格偏多看待</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降息预期再起，美元指数走弱，国内两会窗口释放市场积极信号，宏观利多。基本面上看，上游矿产供应偏紧，冶炼端保持生产，供应整体稳定，铝棒库存出现拐点，铸锭社会库存累库节奏放缓，下游需求消费节后回暖，金三银四旺季效应等待验证。宏观叠加基本面情绪验证之下，铝价上看19300前高压力位，短期偏多看待。</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30054"/>
      <w:r>
        <w:rPr>
          <w:rFonts w:hint="eastAsia" w:ascii="楷体" w:hAnsi="楷体" w:eastAsia="楷体"/>
          <w:b/>
          <w:color w:val="000000" w:themeColor="text1"/>
          <w:sz w:val="24"/>
          <w:szCs w:val="24"/>
          <w14:textFill>
            <w14:solidFill>
              <w14:schemeClr w14:val="tx1"/>
            </w14:solidFill>
          </w14:textFill>
        </w:rPr>
        <w:t>锌：锌市价格偏多看待</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经济数据疲软，美元指数下行，国内两会窗口期，市场情绪偏弱。基本面上看，锌矿TC加速下行，矿端成本提供支撑，国内冶炼利润持续压缩，进口盈利窗口微启，库存绝对水平低位，需求端有政策性刺激预期叠加金三银四旺季消费，价格上方仍有想象空间，趋势偏多看待。</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8623"/>
      <w:r>
        <w:rPr>
          <w:rFonts w:hint="eastAsia" w:ascii="楷体" w:hAnsi="楷体" w:eastAsia="楷体"/>
          <w:b/>
          <w:color w:val="000000" w:themeColor="text1"/>
          <w:sz w:val="24"/>
          <w:szCs w:val="24"/>
          <w14:textFill>
            <w14:solidFill>
              <w14:schemeClr w14:val="tx1"/>
            </w14:solidFill>
          </w14:textFill>
        </w:rPr>
        <w:t>镍：印尼镍矿供应不确定性缓解，预计镍价偏弱运行</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消息扰动方面，据3月5日印尼官员表示，印尼能矿部已经批准723家申请公司中约120家矿产公司的采矿配额RKAB申请，能矿部计划在3月底前完成所有采矿审批，预计市场对印尼镍矿供应不确定性的担忧情绪会随之缓解，镍价逐步回归至基本面逻辑。成本方面，从中间品来看，受前期印尼华飞等MHP项目减产的影响，MHP供需偏紧，近期价格系数维持在75-80高位水平；从硫酸镍来看，此前持续性亏损压力使得硫酸镍厂家减产较多，而近期下游三元材料存在补库需求，在这种阶段性供需矛盾下硫酸镍价格偏强运行。供需方面，精炼镍产能继续释放，镍供应显著过剩的产业格局未有改变，Mysteel预计3月国内精炼镍产量预计26550吨，环比增加8.69%，同比增加56.36%。社会库存维持累库趋势。综合而言，在供应过剩压力及印尼镍矿扰动降温的影响下，预计镍价偏弱运行。</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27381"/>
      <w:r>
        <w:rPr>
          <w:rFonts w:hint="eastAsia" w:ascii="楷体" w:hAnsi="楷体" w:eastAsia="楷体"/>
          <w:b/>
          <w:color w:val="000000" w:themeColor="text1"/>
          <w:sz w:val="24"/>
          <w:szCs w:val="24"/>
          <w14:textFill>
            <w14:solidFill>
              <w14:schemeClr w14:val="tx1"/>
            </w14:solidFill>
          </w14:textFill>
        </w:rPr>
        <w:t>不锈钢：下游需求偏淡，预计价格偏弱震荡</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印尼镍矿RKAB审批缓慢为近期价格波动的重要影响因素，其审批缓慢的原因在于政府换届轮替及非法采矿问题，据3月5日印尼官员表示，印尼能矿部已经批准723家申请公司中约120家矿产公司的采矿配额申请，能矿部计划在3月底前完成所有采矿审批，预计市场对印尼镍矿供应不确定性的担忧情绪会随之缓解，价格逐渐回归至基本面逻辑。从基本面来看，不锈钢厂将陆续复产，据Mysteel预估，国内43家不锈钢厂粗钢3月排产312.03万吨，月环比增加21.4%，同比增加11.53%，而节后下游成交多以刚需采购为主，未见需求明显回暖迹象，基本面偏弱对价格带来压力，预计短期不锈钢价格偏弱震荡，持续关注需求状况及印尼镍矿RKAB审批进展。</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13427"/>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供需双增预期，短期或维持震荡运行</w:t>
      </w:r>
      <w:bookmarkEnd w:id="27"/>
    </w:p>
    <w:p>
      <w:pPr>
        <w:ind w:left="630" w:leftChars="300"/>
        <w:rPr>
          <w:rFonts w:ascii="楷体" w:hAnsi="楷体" w:eastAsia="楷体"/>
          <w:sz w:val="24"/>
          <w:szCs w:val="24"/>
        </w:rPr>
      </w:pPr>
      <w:r>
        <w:rPr>
          <w:rFonts w:hint="eastAsia" w:ascii="楷体" w:hAnsi="楷体" w:eastAsia="楷体"/>
          <w:sz w:val="24"/>
          <w:szCs w:val="24"/>
        </w:rPr>
        <w:t>3月6日，Si2405主力合约呈下行走势，收盘价13290元/吨，较上一收盘价涨跌幅-0.78%。供应方面，受行情低迷影响，云南保山地区个别工厂近期计划停炉检修，但北方产区供应已在陆续恢复，后续或仍有进一步恢复预期，整体供应或维持增加。需求方面，节后订单暂未出现明显放量，补库有所不及预期，但随着复工复产继续进行，有望逐步恢复。综合而言，行业后续存在供需双增预期，短期盘面维持震荡观点，参考区间13100-13700。</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30970"/>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21906"/>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轮胎厂高开工与港口高库存并存 胶价短期或出现回调</w:t>
      </w:r>
      <w:bookmarkEnd w:id="30"/>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泰国供应处于季节性收缩时期，原料价格易涨难跌，标胶到港量下降预期偏强。库存方面，国内社会库存回升，青岛深色胶即将呈现累库拐点，浅色库存同比去年上升。需求端来看，节后返工叠加国内需求的全面复苏，下游工厂陆续复工复产，开工率将恢复性提升。整体看，春节后随着复工复产，天然橡胶需求端提振预期偏强，天胶库存或处于去库周期，但较往年偏高的库存依旧制约盘面上行。短期天胶在前期大涨后或偏弱回调。</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22968"/>
      <w:r>
        <w:rPr>
          <w:rFonts w:hint="eastAsia" w:ascii="楷体" w:hAnsi="楷体" w:eastAsia="楷体"/>
          <w:b/>
          <w:color w:val="000000" w:themeColor="text1"/>
          <w:sz w:val="24"/>
          <w:szCs w:val="24"/>
          <w14:textFill>
            <w14:solidFill>
              <w14:schemeClr w14:val="tx1"/>
            </w14:solidFill>
          </w14:textFill>
        </w:rPr>
        <w:t>聚烯烃：市场多空因素交织，L整体强于PP</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聚烯烃上游石化库存为99万吨，较春节前累库41.5万吨，与去年同期相比增幅较大，库存压力较大。聚烯烃自身开工负荷变动不大，但下游进入集中停工期，春节期间开工率大幅走低，需求降至年内冰点。进口方面，LL进口窗口打开，PP进口窗口关闭。聚烯烃基本面变动不大，建议逢低多L，逢高空PP性价比更高。</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30251"/>
      <w:r>
        <w:rPr>
          <w:rFonts w:hint="eastAsia" w:ascii="楷体" w:hAnsi="楷体" w:eastAsia="楷体"/>
          <w:b/>
          <w:color w:val="000000" w:themeColor="text1"/>
          <w:sz w:val="24"/>
          <w:szCs w:val="24"/>
          <w14:textFill>
            <w14:solidFill>
              <w14:schemeClr w14:val="tx1"/>
            </w14:solidFill>
          </w14:textFill>
        </w:rPr>
        <w:t>玻璃：现货价格下跌，期价弱震荡</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3月6日报道：今日浮法玻璃现货价格2001元/吨，较上一交易日-8元/吨。供给上，全国浮法玻璃日产量为17.23万吨，维持在高位。库存上，截止到20240229，全国浮法玻璃样本企业总库存5572.2万重箱，环比+146.7万重箱，环比+2.7%，从本周产销来看，预计延续累库。从需求看，下游元宵节后开始动工，但恢复较慢，上游沙河湖北主产区原片厂和中游贸易商库存持续积累，有待消化，周内降价清库，下游回款差，补库谨慎，刚需为主。盘面延续弱势，产销较差，沙河和湖北现货价格继续下跌。但是期价下跌至年线附近之后支撑较强，进一步下跌需要看到大幅累库或者成本端打开下行空间，短线建议空单在年线附近逐步止盈离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526"/>
      <w:r>
        <w:rPr>
          <w:rFonts w:hint="eastAsia" w:ascii="楷体" w:hAnsi="楷体" w:eastAsia="楷体"/>
          <w:b/>
          <w:color w:val="000000" w:themeColor="text1"/>
          <w:sz w:val="24"/>
          <w:szCs w:val="24"/>
          <w14:textFill>
            <w14:solidFill>
              <w14:schemeClr w14:val="tx1"/>
            </w14:solidFill>
          </w14:textFill>
        </w:rPr>
        <w:t>纯碱：基本面偏弱，关注套保压力</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周内纯碱现货端价格阴跌，河北、河南等地重碱价格在1950-2000元/吨附近成交较多，现货价格重心继续下移，部分价格已在1900以下成交。从供给端来看，截止到2024年2月29日，周纯碱产量74.31万吨，涨幅3.45%，青海地区前期受环保影响的产能在逐步提量，部分碱厂短停。从库存上看，上周纯碱企业库存84.76万吨，涨幅13.24%。需求上，上周末部分玻璃厂重碱继续有进口碱补充，需求增量主要看轻碱下游，但高供给情况下，主要靠低价成交。从刚需来看，周度表需大约在63-64万吨，但如果纯碱要大幅去库，那么周度表需要提升到75万吨以上，下游接纳空间有限，补库时间可能只有1-2周，大规模集中补库难以持续。盘面的反弹更多的是短期消息面的炒作，在未看到集中检修或者大规模的减产之前，中期累库趋势难改，前期主力合约下跌至成本附近后企稳反弹收复基差，期价收回平水或小幅升水都是较好的高空位置。</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26335"/>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ascii="楷体" w:hAnsi="楷体" w:eastAsia="楷体"/>
          <w:b/>
        </w:rPr>
      </w:pPr>
      <w:bookmarkStart w:id="35" w:name="_Toc23154"/>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期价震荡分化运行</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节后以来期现货上涨之后，期价转为震荡调整，市场可能存在两个方面的担忧，其一是短期，主要担心为后期气温上升之后，余粮特别是地趴粮带来的供应压力；其二是国内价格上涨是的内外价差走扩，市场会担心进口增量来补充国内玉米产需缺口。换句话说，市场短期会再度担心阶段性供应压力，中长期产需缺口预期转变亦尚未成为市场共识，这需要市场逐步证实。我们维持谨慎看多观点，建议投资者持有前期多单，如无前期多单则可考虑择机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影响淀粉-玉米价差的三方面因素均存在较大不确定性，除去上述的原料成本即玉米之外，副产品更多跟随蛋白粕走势，这取决于外盘美豆走势；行业供需中库存累积需要甄别其持续性，因其不排除是阶段性因素。在我们看来，考虑到盘面生产利润已进入亏损状况，在副产品和行业供需尚未确认之前，暂不适合入场做缩淀粉-玉米价差。综上所述，我们持谨慎看多观点，建议节前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6" w:name="_Toc10067"/>
      <w:r>
        <w:rPr>
          <w:rFonts w:hint="eastAsia" w:ascii="楷体" w:hAnsi="楷体" w:eastAsia="楷体"/>
          <w:b/>
          <w:bCs/>
          <w:color w:val="000000" w:themeColor="text1"/>
          <w14:textFill>
            <w14:solidFill>
              <w14:schemeClr w14:val="tx1"/>
            </w14:solidFill>
          </w14:textFill>
        </w:rPr>
        <w:t>畜禽养殖：期价近强远弱分化运行</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目前期价结构呈现远月升水结构，表明市场对远期供需预期趋于乐观，这主要源于产能去化即能繁母猪存栏的持续下降，但市场对其改善幅度存在分歧，特别是春节前仔猪现货价格大幅上涨之后，因其使得母猪养殖变得盈利，这将抑制产能的继续去化。而从农业农村部公布的四季度末生猪存栏可以看出，生猪供应有望低于去年同期，但考虑到需求季节性因素，能否改变供需格局尚未可知，而由于去年四季度豆粕和玉米的大幅下跌，生猪养殖饲料成本显著低于去年同期，在这种供需格局和饲料成本的背景下，市场普遍预计现货涨幅有限。接下来需要留意两个方面，其一是生猪价格何时确认季节性低点，及其低点的水平；其二是饲料原料成本，前期期价反弹更多源于后者。据此我们维持中性观点，建议谨慎投资者观望，激进投资者可以考虑短线操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分析市场可以看出，节前期价持续下跌，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养殖户淘汰积极性持续较高。考虑到节后现货已季节性回落，中期与短期利空因素或已经在很大程度上得以释放，继续下跌空间或有限，接下来或震荡反弹或趋于调整。我们维持中性观点，建议投资者观望，可考虑参与短线操作。</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37" w:name="_Toc24789"/>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20238"/>
      <w:r>
        <w:rPr>
          <w:rFonts w:hint="eastAsia" w:ascii="Times New Roman" w:hAnsi="Times New Roman" w:eastAsia="楷体"/>
          <w:b/>
          <w:color w:val="000000" w:themeColor="text1"/>
          <w:sz w:val="24"/>
          <w:szCs w:val="24"/>
          <w14:textFill>
            <w14:solidFill>
              <w14:schemeClr w14:val="tx1"/>
            </w14:solidFill>
          </w14:textFill>
        </w:rPr>
        <w:t>集运指数（欧线）：EC弱势震荡，基本面利多因素逐步消退</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上周五盘后公布新一期SCFI欧线数据下跌幅度超9%至2277美元/TEU。周一盘后SCFIS欧线小幅回落3%至2849.6点。目前进入周中的数据真空期。短期看，大多船司继续下调运费，其中马士基将Week11和Week12船代已经将运价下调至1700美金/TEU附近。同时根据最新消息达飞重新评估红海南部地区的情况，考虑个别船只通航红海。</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需求方面，春节后工厂开工、货运需求进入淡季。因此周期性因素拖动EC转弱势，但目前期价深度贴水，现货价格逐步向下收敛，预计期货价格弱震荡区间约为1700至2000点。</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98426751"/>
      <w:bookmarkStart w:id="40" w:name="_Toc19667"/>
      <w:bookmarkStart w:id="41" w:name="_Toc12779"/>
      <w:bookmarkStart w:id="42" w:name="_Toc71212556"/>
      <w:bookmarkStart w:id="43" w:name="_Toc72481108"/>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2024年3月7日星期四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57D13AE"/>
    <w:rsid w:val="064A667C"/>
    <w:rsid w:val="06B2613D"/>
    <w:rsid w:val="06B753E3"/>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4E6356"/>
    <w:rsid w:val="13AE24B4"/>
    <w:rsid w:val="15364A7C"/>
    <w:rsid w:val="15602ADB"/>
    <w:rsid w:val="15D52593"/>
    <w:rsid w:val="197E6634"/>
    <w:rsid w:val="1B8A2034"/>
    <w:rsid w:val="1BC72FF7"/>
    <w:rsid w:val="1D03226A"/>
    <w:rsid w:val="1D5030CD"/>
    <w:rsid w:val="1D876087"/>
    <w:rsid w:val="1DFF64E4"/>
    <w:rsid w:val="1ECB51CD"/>
    <w:rsid w:val="1FDC1B35"/>
    <w:rsid w:val="2056595D"/>
    <w:rsid w:val="20AE4DE8"/>
    <w:rsid w:val="21194658"/>
    <w:rsid w:val="216834DE"/>
    <w:rsid w:val="21996AC1"/>
    <w:rsid w:val="219F3EE2"/>
    <w:rsid w:val="21F57098"/>
    <w:rsid w:val="22BB5089"/>
    <w:rsid w:val="24321B2E"/>
    <w:rsid w:val="244B21DE"/>
    <w:rsid w:val="245C7DFE"/>
    <w:rsid w:val="247F3074"/>
    <w:rsid w:val="24B82D9D"/>
    <w:rsid w:val="258A2E5C"/>
    <w:rsid w:val="25B924F3"/>
    <w:rsid w:val="25E06B30"/>
    <w:rsid w:val="268419CF"/>
    <w:rsid w:val="26AC2D80"/>
    <w:rsid w:val="26F95364"/>
    <w:rsid w:val="2B9C319C"/>
    <w:rsid w:val="2C1D776C"/>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6F6249"/>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CB522F"/>
    <w:rsid w:val="57F46FBE"/>
    <w:rsid w:val="58042686"/>
    <w:rsid w:val="58246D5D"/>
    <w:rsid w:val="58EC5960"/>
    <w:rsid w:val="59151C86"/>
    <w:rsid w:val="59C52328"/>
    <w:rsid w:val="5AD37D8A"/>
    <w:rsid w:val="5B906095"/>
    <w:rsid w:val="5BF60A75"/>
    <w:rsid w:val="5C9F2D01"/>
    <w:rsid w:val="5D5617A6"/>
    <w:rsid w:val="5D716329"/>
    <w:rsid w:val="5EA23F15"/>
    <w:rsid w:val="5EA7685B"/>
    <w:rsid w:val="5ED40954"/>
    <w:rsid w:val="60BE22C5"/>
    <w:rsid w:val="619A2BBF"/>
    <w:rsid w:val="61DF02D0"/>
    <w:rsid w:val="62710E5F"/>
    <w:rsid w:val="63735B47"/>
    <w:rsid w:val="63FF1EA7"/>
    <w:rsid w:val="64C32497"/>
    <w:rsid w:val="669D0EEA"/>
    <w:rsid w:val="66C861F9"/>
    <w:rsid w:val="66D04BBC"/>
    <w:rsid w:val="67655BF9"/>
    <w:rsid w:val="67C6389B"/>
    <w:rsid w:val="685D4EEE"/>
    <w:rsid w:val="68AE1587"/>
    <w:rsid w:val="68D53E8D"/>
    <w:rsid w:val="6A194855"/>
    <w:rsid w:val="6B292599"/>
    <w:rsid w:val="6D9172E5"/>
    <w:rsid w:val="6E133456"/>
    <w:rsid w:val="6ECB7DD2"/>
    <w:rsid w:val="6F79454F"/>
    <w:rsid w:val="6FE61065"/>
    <w:rsid w:val="70675779"/>
    <w:rsid w:val="713E0334"/>
    <w:rsid w:val="716F5E64"/>
    <w:rsid w:val="72417AFE"/>
    <w:rsid w:val="729B5F03"/>
    <w:rsid w:val="72D92B78"/>
    <w:rsid w:val="72F62A89"/>
    <w:rsid w:val="737357AF"/>
    <w:rsid w:val="74163BE4"/>
    <w:rsid w:val="75292EAC"/>
    <w:rsid w:val="755A5FEF"/>
    <w:rsid w:val="75775016"/>
    <w:rsid w:val="758E0106"/>
    <w:rsid w:val="7626762C"/>
    <w:rsid w:val="778F5135"/>
    <w:rsid w:val="77B53D6B"/>
    <w:rsid w:val="77D54B08"/>
    <w:rsid w:val="784F7772"/>
    <w:rsid w:val="78713929"/>
    <w:rsid w:val="78E55995"/>
    <w:rsid w:val="79267C0B"/>
    <w:rsid w:val="79C90FB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2024-03-07T02:40:37Z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