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_Toc4104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_Toc14713 </w:instrText>
          </w:r>
          <w:r>
            <w:rPr>
              <w:bCs/>
            </w:rPr>
            <w:fldChar w:fldCharType="separate"/>
          </w:r>
          <w:r>
            <w:rPr>
              <w:rFonts w:hint="eastAsia" w:ascii="Times New Roman" w:hAnsi="Times New Roman" w:eastAsia="楷体"/>
              <w:szCs w:val="24"/>
            </w:rPr>
            <w:t>股指：部分仓位逢高止盈，待调整后入场</w:t>
          </w:r>
          <w:r>
            <w:rPr>
              <w:bCs/>
            </w:rPr>
            <w:fldChar w:fldCharType="end"/>
          </w:r>
        </w:p>
        <w:p>
          <w:pPr>
            <w:pStyle w:val="59"/>
            <w:tabs>
              <w:tab w:val="right" w:leader="dot" w:pos="8306"/>
            </w:tabs>
          </w:pPr>
          <w:r>
            <w:rPr>
              <w:bCs/>
            </w:rPr>
            <w:fldChar w:fldCharType="begin"/>
          </w:r>
          <w:r>
            <w:rPr>
              <w:bCs/>
            </w:rPr>
            <w:instrText xml:space="preserve"> HYPERLINK \l _Toc15413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_Toc18371 </w:instrText>
          </w:r>
          <w:r>
            <w:rPr>
              <w:bCs/>
            </w:rPr>
            <w:fldChar w:fldCharType="separate"/>
          </w:r>
          <w:r>
            <w:rPr>
              <w:rFonts w:hint="eastAsia" w:ascii="Times New Roman" w:hAnsi="Times New Roman" w:eastAsia="楷体"/>
              <w:szCs w:val="24"/>
            </w:rPr>
            <w:t>贵金属：CME黄金波动率上行，贵金属价格上涨</w:t>
          </w:r>
          <w:r>
            <w:rPr>
              <w:bCs/>
            </w:rPr>
            <w:fldChar w:fldCharType="end"/>
          </w:r>
        </w:p>
        <w:p>
          <w:pPr>
            <w:pStyle w:val="59"/>
            <w:tabs>
              <w:tab w:val="right" w:leader="dot" w:pos="8306"/>
            </w:tabs>
          </w:pPr>
          <w:r>
            <w:rPr>
              <w:bCs/>
            </w:rPr>
            <w:fldChar w:fldCharType="begin"/>
          </w:r>
          <w:r>
            <w:rPr>
              <w:bCs/>
            </w:rPr>
            <w:instrText xml:space="preserve"> HYPERLINK \l _Toc30470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_Toc3051 </w:instrText>
          </w:r>
          <w:r>
            <w:rPr>
              <w:bCs/>
            </w:rPr>
            <w:fldChar w:fldCharType="separate"/>
          </w:r>
          <w:r>
            <w:rPr>
              <w:rFonts w:hint="eastAsia" w:ascii="楷体" w:hAnsi="楷体" w:eastAsia="楷体"/>
              <w:szCs w:val="24"/>
            </w:rPr>
            <w:t>碳酸锂：现货价格小幅上涨，期价大幅回调</w:t>
          </w:r>
          <w:r>
            <w:rPr>
              <w:bCs/>
            </w:rPr>
            <w:fldChar w:fldCharType="end"/>
          </w:r>
        </w:p>
        <w:p>
          <w:pPr>
            <w:pStyle w:val="74"/>
            <w:tabs>
              <w:tab w:val="right" w:leader="dot" w:pos="8306"/>
            </w:tabs>
          </w:pPr>
          <w:r>
            <w:rPr>
              <w:bCs/>
            </w:rPr>
            <w:fldChar w:fldCharType="begin"/>
          </w:r>
          <w:r>
            <w:rPr>
              <w:bCs/>
            </w:rPr>
            <w:instrText xml:space="preserve"> HYPERLINK \l _Toc23523 </w:instrText>
          </w:r>
          <w:r>
            <w:rPr>
              <w:bCs/>
            </w:rPr>
            <w:fldChar w:fldCharType="separate"/>
          </w:r>
          <w:r>
            <w:rPr>
              <w:rFonts w:hint="eastAsia" w:ascii="楷体" w:hAnsi="楷体" w:eastAsia="楷体"/>
              <w:szCs w:val="24"/>
            </w:rPr>
            <w:t>铜：需求仍待进一步验证，短期价格震荡为主</w:t>
          </w:r>
          <w:r>
            <w:rPr>
              <w:bCs/>
            </w:rPr>
            <w:fldChar w:fldCharType="end"/>
          </w:r>
        </w:p>
        <w:p>
          <w:pPr>
            <w:pStyle w:val="74"/>
            <w:tabs>
              <w:tab w:val="right" w:leader="dot" w:pos="8306"/>
            </w:tabs>
          </w:pPr>
          <w:r>
            <w:rPr>
              <w:bCs/>
            </w:rPr>
            <w:fldChar w:fldCharType="begin"/>
          </w:r>
          <w:r>
            <w:rPr>
              <w:bCs/>
            </w:rPr>
            <w:instrText xml:space="preserve"> HYPERLINK \l _Toc7159 </w:instrText>
          </w:r>
          <w:r>
            <w:rPr>
              <w:bCs/>
            </w:rPr>
            <w:fldChar w:fldCharType="separate"/>
          </w:r>
          <w:r>
            <w:rPr>
              <w:rFonts w:hint="eastAsia" w:ascii="楷体" w:hAnsi="楷体" w:eastAsia="楷体"/>
              <w:szCs w:val="24"/>
            </w:rPr>
            <w:t>铝：铝价区间偏强震荡运行</w:t>
          </w:r>
          <w:r>
            <w:rPr>
              <w:bCs/>
            </w:rPr>
            <w:fldChar w:fldCharType="end"/>
          </w:r>
        </w:p>
        <w:p>
          <w:pPr>
            <w:pStyle w:val="74"/>
            <w:tabs>
              <w:tab w:val="right" w:leader="dot" w:pos="8306"/>
            </w:tabs>
          </w:pPr>
          <w:r>
            <w:rPr>
              <w:bCs/>
            </w:rPr>
            <w:fldChar w:fldCharType="begin"/>
          </w:r>
          <w:r>
            <w:rPr>
              <w:bCs/>
            </w:rPr>
            <w:instrText xml:space="preserve"> HYPERLINK \l _Toc30707 </w:instrText>
          </w:r>
          <w:r>
            <w:rPr>
              <w:bCs/>
            </w:rPr>
            <w:fldChar w:fldCharType="separate"/>
          </w:r>
          <w:r>
            <w:rPr>
              <w:rFonts w:hint="eastAsia" w:ascii="楷体" w:hAnsi="楷体" w:eastAsia="楷体"/>
              <w:szCs w:val="24"/>
            </w:rPr>
            <w:t>锌：锌价偏强运行</w:t>
          </w:r>
          <w:r>
            <w:rPr>
              <w:bCs/>
            </w:rPr>
            <w:fldChar w:fldCharType="end"/>
          </w:r>
        </w:p>
        <w:p>
          <w:pPr>
            <w:pStyle w:val="74"/>
            <w:tabs>
              <w:tab w:val="right" w:leader="dot" w:pos="8306"/>
            </w:tabs>
          </w:pPr>
          <w:r>
            <w:rPr>
              <w:bCs/>
            </w:rPr>
            <w:fldChar w:fldCharType="begin"/>
          </w:r>
          <w:r>
            <w:rPr>
              <w:bCs/>
            </w:rPr>
            <w:instrText xml:space="preserve"> HYPERLINK \l _Toc19143 </w:instrText>
          </w:r>
          <w:r>
            <w:rPr>
              <w:bCs/>
            </w:rPr>
            <w:fldChar w:fldCharType="separate"/>
          </w:r>
          <w:r>
            <w:rPr>
              <w:rFonts w:hint="eastAsia" w:ascii="楷体" w:hAnsi="楷体" w:eastAsia="楷体"/>
              <w:szCs w:val="24"/>
            </w:rPr>
            <w:t>镍：印尼镍矿供应不确定性缓解，镍价存回落风险</w:t>
          </w:r>
          <w:r>
            <w:rPr>
              <w:bCs/>
            </w:rPr>
            <w:fldChar w:fldCharType="end"/>
          </w:r>
        </w:p>
        <w:p>
          <w:pPr>
            <w:pStyle w:val="74"/>
            <w:tabs>
              <w:tab w:val="right" w:leader="dot" w:pos="8306"/>
            </w:tabs>
          </w:pPr>
          <w:r>
            <w:rPr>
              <w:bCs/>
            </w:rPr>
            <w:fldChar w:fldCharType="begin"/>
          </w:r>
          <w:r>
            <w:rPr>
              <w:bCs/>
            </w:rPr>
            <w:instrText xml:space="preserve"> HYPERLINK \l _Toc11172 </w:instrText>
          </w:r>
          <w:r>
            <w:rPr>
              <w:bCs/>
            </w:rPr>
            <w:fldChar w:fldCharType="separate"/>
          </w:r>
          <w:r>
            <w:rPr>
              <w:rFonts w:hint="eastAsia" w:ascii="楷体" w:hAnsi="楷体" w:eastAsia="楷体"/>
              <w:szCs w:val="24"/>
            </w:rPr>
            <w:t>不锈钢：下游需求偏淡，预计价格偏弱震荡</w:t>
          </w:r>
          <w:r>
            <w:rPr>
              <w:bCs/>
            </w:rPr>
            <w:fldChar w:fldCharType="end"/>
          </w:r>
        </w:p>
        <w:p>
          <w:pPr>
            <w:pStyle w:val="74"/>
            <w:tabs>
              <w:tab w:val="right" w:leader="dot" w:pos="8306"/>
            </w:tabs>
          </w:pPr>
          <w:r>
            <w:rPr>
              <w:bCs/>
            </w:rPr>
            <w:fldChar w:fldCharType="begin"/>
          </w:r>
          <w:r>
            <w:rPr>
              <w:bCs/>
            </w:rPr>
            <w:instrText xml:space="preserve"> HYPERLINK \l _Toc5107 </w:instrText>
          </w:r>
          <w:r>
            <w:rPr>
              <w:bCs/>
            </w:rPr>
            <w:fldChar w:fldCharType="separate"/>
          </w:r>
          <w:r>
            <w:rPr>
              <w:rFonts w:hint="eastAsia" w:ascii="楷体" w:hAnsi="楷体" w:eastAsia="楷体"/>
              <w:szCs w:val="24"/>
            </w:rPr>
            <w:t>工业硅：供需双增预期，短期或维持震荡运行</w:t>
          </w:r>
          <w:r>
            <w:rPr>
              <w:bCs/>
            </w:rPr>
            <w:fldChar w:fldCharType="end"/>
          </w:r>
        </w:p>
        <w:p>
          <w:pPr>
            <w:pStyle w:val="59"/>
            <w:tabs>
              <w:tab w:val="right" w:leader="dot" w:pos="8306"/>
            </w:tabs>
          </w:pPr>
          <w:r>
            <w:rPr>
              <w:bCs/>
            </w:rPr>
            <w:fldChar w:fldCharType="begin"/>
          </w:r>
          <w:r>
            <w:rPr>
              <w:bCs/>
            </w:rPr>
            <w:instrText xml:space="preserve"> HYPERLINK \l _Toc13701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_Toc4028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轮胎厂高开工与港口高库存并存 胶价上方压力较大</w:t>
          </w:r>
          <w:r>
            <w:rPr>
              <w:bCs/>
            </w:rPr>
            <w:fldChar w:fldCharType="end"/>
          </w:r>
        </w:p>
        <w:p>
          <w:pPr>
            <w:pStyle w:val="74"/>
            <w:tabs>
              <w:tab w:val="right" w:leader="dot" w:pos="8306"/>
            </w:tabs>
          </w:pPr>
          <w:r>
            <w:rPr>
              <w:bCs/>
            </w:rPr>
            <w:fldChar w:fldCharType="begin"/>
          </w:r>
          <w:r>
            <w:rPr>
              <w:bCs/>
            </w:rPr>
            <w:instrText xml:space="preserve"> HYPERLINK \l _Toc6399 </w:instrText>
          </w:r>
          <w:r>
            <w:rPr>
              <w:bCs/>
            </w:rPr>
            <w:fldChar w:fldCharType="separate"/>
          </w:r>
          <w:r>
            <w:rPr>
              <w:rFonts w:hint="eastAsia" w:ascii="楷体" w:hAnsi="楷体" w:eastAsia="楷体"/>
              <w:szCs w:val="24"/>
            </w:rPr>
            <w:t>聚烯烃：市场多空因素交织，L整体强于PP</w:t>
          </w:r>
          <w:r>
            <w:rPr>
              <w:bCs/>
            </w:rPr>
            <w:fldChar w:fldCharType="end"/>
          </w:r>
        </w:p>
        <w:p>
          <w:pPr>
            <w:pStyle w:val="74"/>
            <w:tabs>
              <w:tab w:val="right" w:leader="dot" w:pos="8306"/>
            </w:tabs>
          </w:pPr>
          <w:r>
            <w:rPr>
              <w:bCs/>
            </w:rPr>
            <w:fldChar w:fldCharType="begin"/>
          </w:r>
          <w:r>
            <w:rPr>
              <w:bCs/>
            </w:rPr>
            <w:instrText xml:space="preserve"> HYPERLINK \l _Toc30576 </w:instrText>
          </w:r>
          <w:r>
            <w:rPr>
              <w:bCs/>
            </w:rPr>
            <w:fldChar w:fldCharType="separate"/>
          </w:r>
          <w:r>
            <w:rPr>
              <w:rFonts w:hint="eastAsia" w:ascii="楷体" w:hAnsi="楷体" w:eastAsia="楷体"/>
              <w:szCs w:val="24"/>
            </w:rPr>
            <w:t>玻璃：现货价格持续下跌，基差修复</w:t>
          </w:r>
          <w:r>
            <w:rPr>
              <w:bCs/>
            </w:rPr>
            <w:fldChar w:fldCharType="end"/>
          </w:r>
        </w:p>
        <w:p>
          <w:pPr>
            <w:pStyle w:val="74"/>
            <w:tabs>
              <w:tab w:val="right" w:leader="dot" w:pos="8306"/>
            </w:tabs>
          </w:pPr>
          <w:r>
            <w:rPr>
              <w:bCs/>
            </w:rPr>
            <w:fldChar w:fldCharType="begin"/>
          </w:r>
          <w:r>
            <w:rPr>
              <w:bCs/>
            </w:rPr>
            <w:instrText xml:space="preserve"> HYPERLINK \l _Toc26531 </w:instrText>
          </w:r>
          <w:r>
            <w:rPr>
              <w:bCs/>
            </w:rPr>
            <w:fldChar w:fldCharType="separate"/>
          </w:r>
          <w:r>
            <w:rPr>
              <w:rFonts w:hint="eastAsia" w:ascii="楷体" w:hAnsi="楷体" w:eastAsia="楷体"/>
              <w:szCs w:val="24"/>
            </w:rPr>
            <w:t>纯碱：市场再度炒作封单，中期供给过剩趋势未改</w:t>
          </w:r>
          <w:r>
            <w:rPr>
              <w:bCs/>
            </w:rPr>
            <w:fldChar w:fldCharType="end"/>
          </w:r>
        </w:p>
        <w:p>
          <w:pPr>
            <w:pStyle w:val="59"/>
            <w:tabs>
              <w:tab w:val="right" w:leader="dot" w:pos="8306"/>
            </w:tabs>
          </w:pPr>
          <w:r>
            <w:rPr>
              <w:bCs/>
            </w:rPr>
            <w:fldChar w:fldCharType="begin"/>
          </w:r>
          <w:r>
            <w:rPr>
              <w:bCs/>
            </w:rPr>
            <w:instrText xml:space="preserve"> HYPERLINK \l _Toc17895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_Toc27183 </w:instrText>
          </w:r>
          <w:r>
            <w:rPr>
              <w:bCs/>
            </w:rPr>
            <w:fldChar w:fldCharType="separate"/>
          </w:r>
          <w:r>
            <w:rPr>
              <w:rFonts w:hint="eastAsia" w:ascii="楷体" w:hAnsi="楷体" w:eastAsia="楷体"/>
              <w:bCs/>
            </w:rPr>
            <w:t>玉米与淀粉：</w:t>
          </w:r>
          <w:r>
            <w:rPr>
              <w:rFonts w:hint="eastAsia" w:ascii="楷体" w:hAnsi="楷体" w:eastAsia="楷体"/>
            </w:rPr>
            <w:t>期价弱势调整等待现货</w:t>
          </w:r>
          <w:r>
            <w:rPr>
              <w:bCs/>
            </w:rPr>
            <w:fldChar w:fldCharType="end"/>
          </w:r>
        </w:p>
        <w:p>
          <w:pPr>
            <w:pStyle w:val="74"/>
            <w:tabs>
              <w:tab w:val="right" w:leader="dot" w:pos="8306"/>
            </w:tabs>
          </w:pPr>
          <w:r>
            <w:rPr>
              <w:bCs/>
            </w:rPr>
            <w:fldChar w:fldCharType="begin"/>
          </w:r>
          <w:r>
            <w:rPr>
              <w:bCs/>
            </w:rPr>
            <w:instrText xml:space="preserve"> HYPERLINK \l _Toc7438 </w:instrText>
          </w:r>
          <w:r>
            <w:rPr>
              <w:bCs/>
            </w:rPr>
            <w:fldChar w:fldCharType="separate"/>
          </w:r>
          <w:r>
            <w:rPr>
              <w:rFonts w:hint="eastAsia" w:ascii="楷体" w:hAnsi="楷体" w:eastAsia="楷体"/>
              <w:bCs/>
            </w:rPr>
            <w:t>畜禽养殖：鸡蛋现货带动期价偏强震荡</w:t>
          </w:r>
          <w:r>
            <w:rPr>
              <w:bCs/>
            </w:rPr>
            <w:fldChar w:fldCharType="end"/>
          </w:r>
        </w:p>
        <w:p>
          <w:pPr>
            <w:pStyle w:val="59"/>
            <w:tabs>
              <w:tab w:val="right" w:leader="dot" w:pos="8306"/>
            </w:tabs>
          </w:pPr>
          <w:r>
            <w:rPr>
              <w:bCs/>
            </w:rPr>
            <w:fldChar w:fldCharType="begin"/>
          </w:r>
          <w:r>
            <w:rPr>
              <w:bCs/>
            </w:rPr>
            <w:instrText xml:space="preserve"> HYPERLINK \l _Toc20088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_Toc8343 </w:instrText>
          </w:r>
          <w:r>
            <w:rPr>
              <w:bCs/>
            </w:rPr>
            <w:fldChar w:fldCharType="separate"/>
          </w:r>
          <w:r>
            <w:rPr>
              <w:rFonts w:hint="eastAsia" w:ascii="Times New Roman" w:hAnsi="Times New Roman" w:eastAsia="楷体"/>
              <w:szCs w:val="24"/>
            </w:rPr>
            <w:t>集运指数（欧线）：现货价格逐步回落，基差进入收敛通道</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4104"/>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4713"/>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部分仓位逢高止盈，待调整后入场</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2024年政府工作报告对今年经济增速目标的设定为5%左右，与市场预期较为一致，宏观政策层面上亦呈现总体偏宽松的基调，政策引导力度料或明显增强。财政方面，赤字率设定较为克制，按3%安排，明确超长期特别国债后续几年会常态化发行，先发行1万亿元，拟安排地方政府转向债3.9万亿元，预计广义赤字率有望回升， “过紧日子”将会逐步制度化、长期化，财税金融资源将会进一步向新质生产力领域倾斜。</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回到市场，自底部这轮反弹以来，市场风险偏好已经明显修复，但多空分歧明显增大。若指数级别的贝塔行情继续，仍需基本面的进一步催化。随着重要会议议程结束，政策将持续保持较强定力，关注3月份及二季度的经济数据及其对全年经济复苏预期的影响。短线建议获利盘可逢高止盈，待调整后入场。</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5413"/>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8371"/>
      <w:r>
        <w:rPr>
          <w:rFonts w:hint="eastAsia" w:ascii="Times New Roman" w:hAnsi="Times New Roman" w:eastAsia="楷体"/>
          <w:b/>
          <w:color w:val="000000" w:themeColor="text1"/>
          <w:sz w:val="24"/>
          <w:szCs w:val="24"/>
          <w14:textFill>
            <w14:solidFill>
              <w14:schemeClr w14:val="tx1"/>
            </w14:solidFill>
          </w14:textFill>
        </w:rPr>
        <w:t>贵金属：CME黄金波动率上行，贵金属价格上涨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美国经济数据走弱令海外降息预期升温，贵金属价格上涨。沪金涨0.89%，沪银涨0.61%。CME黄金波动率涨2.14%至14.51。欧元区3月Sentix投资者信心指数录得-10.5，前值-12.9。美国2月ISM非制造业指数放缓至52.6，不及预期的53，前值为53.4。美国2月ISM制造业PMI低于预期，美国2月ISM制造业指数下降至47.8，低于预期的49.5，1月前值49.1。欧元区1月PPI同比下降8.6%，环比降幅为0.9%，均超出预期。美联储博斯蒂克表示，通胀有望缓慢回归2%目标，但宣布胜利为时尚早；降息存在释放新需求并加剧通胀的风险；预计首次降息之后将按下暂停键，以进行评估；希望缩表步伐能够尽可能长久地维持。关注周五美国非农就业人数、失业率等就业数据更新，经济数据表现偏弱，降息预期升温，贵金属价格或偏强运行。</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30470"/>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3051"/>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碳酸锂：现货价格小幅上涨，期价大幅回调</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小幅上涨，期价大幅回调，07合约收跌7.16%至111550元/吨。前期期价上涨主要受前期环保等消息面因素，以及年后需求回暖的先行预期所带动。磷酸铁锂供应有所增量，头部企业开工率维持于约6-7成，中部企业开工率约4-5成。三元材料需求总体小幅增长、中高镍需求增量较为明显，三元材料企业开工率约四成，原料价格上行，利润仍维持较低水平。3月下游排产环比上升，由于年前下游已进行部分备货，采购需求有待进一步观察，暂未见大幅补库。前期消息面影响逐步消化，进入三月后品种或面临仓单注销压力，部分现货流入市场或为供应贡献增量。后续留意进口数据及下游补库需求兑现情况，期价短期内或维持区间震荡。</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9719"/>
      <w:bookmarkStart w:id="19" w:name="_Toc25617"/>
      <w:bookmarkStart w:id="20" w:name="_Toc23523"/>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需求仍待进一步验证，短期价格震荡为主</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(1)库存：3月5日，SHFE仓单库存137061吨，增4473吨；LME仓单库存114075吨，减2700吨。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(2)精废价差：3月5日，Mysteel精废价差1458，收窄16。目前价差在合理价差1390之上。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海外关注本周五美国非农数据，若就业数据走弱，可能再次强化短期降息预期。国内从目前两会前释放的信息看，政策仍然以托底性质为主，大概率没有强力度的政策。基本面，铜精矿TC短暂企稳后继续下行，建议持续关注冶炼端产出情况。当前国内库存持续累增，需求在逐步验证中，短期价格驱动不明显，震荡为主，参考区间68500-69500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6247"/>
      <w:bookmarkStart w:id="22" w:name="_Toc8897"/>
      <w:bookmarkStart w:id="23" w:name="_Toc7159"/>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铝价区间偏强震荡运行</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官员表示短期内降息仍有存风险，联储降息预期再度延迟，欧元区经济数据表现不佳，海外经济整体偏软，另外美对俄的制裁方案暂时不包括工业金属，消息面影响减弱。国内召开两会，市场保持积极向好的政策预期。供应端整体保持稳定，内蒙古个别企业短暂停电，影响少量 产能开产，云南地区产能有复产消息传出，实际短期内时间复产可能性较小，铝土矿价格持续攀升，带动氧化铝价格走强，电解铝生产成本重心上移，下游需求在节后逐步修复，进入金三银四消费旺季，铝棒库存出现拐点，铸锭库存累积，去库节奏缓慢。宏观情绪多空博弈，供应端小幅减产但影响较小，需求有旺季消费预期，年后地产基建逐步恢复开工，铝价仍有支撑， 预期价格区间偏强震荡运行 ，参考区间18600-19300。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30707"/>
      <w:r>
        <w:rPr>
          <w:rFonts w:hint="eastAsia" w:ascii="楷体" w:hAnsi="楷体" w:eastAsia="楷体"/>
          <w:b/>
          <w:color w:val="000000" w:themeColor="text1"/>
          <w:sz w:val="24"/>
          <w:szCs w:val="24"/>
          <w14:textFill>
            <w14:solidFill>
              <w14:schemeClr w14:val="tx1"/>
            </w14:solidFill>
          </w14:textFill>
        </w:rPr>
        <w:t>锌：锌价偏强运行</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宏观持续博弈联储降息窗口，国内两会召开，市场等待政策面情绪引导。基本面上看，海外锌矿受不可抗力影响进口较少，叠加进口盈利窗口关闭，国内矿端供应偏紧，冶炼端生产利润负反馈，精炼锌节前生产收缩，节后在消费旺季叠加节前订单敦促的影响下逐步开产，下游需求消费边际修复，锌价下方有强成本支撑，价格偏强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9143"/>
      <w:r>
        <w:rPr>
          <w:rFonts w:hint="eastAsia" w:ascii="楷体" w:hAnsi="楷体" w:eastAsia="楷体"/>
          <w:b/>
          <w:color w:val="000000" w:themeColor="text1"/>
          <w:sz w:val="24"/>
          <w:szCs w:val="24"/>
          <w14:textFill>
            <w14:solidFill>
              <w14:schemeClr w14:val="tx1"/>
            </w14:solidFill>
          </w14:textFill>
        </w:rPr>
        <w:t>镍：印尼镍矿供应不确定性缓解，镍价存回落风险</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扰动方面，据3月5日印尼官员表示，印尼能矿部已经批准723家申请公司中约120家矿产公司的采矿配额RKAB申请，能矿部计划在3月底前完成所有采矿审批，预计市场对印尼镍矿供应不确定性的担忧情绪会随之缓解，镍价逐步回归至基本面逻辑。成本方面，从中间品来看，受前期印尼华飞等MHP项目减产的影响，MHP供需偏紧，近期价格系数维持在75-80高位水平；从硫酸镍来看，此前持续性亏损压力使得硫酸镍厂家减产较多，而近期下游三元材料存在补库需求，在这种阶段性供需矛盾下硫酸镍价格偏强运行，预计12万元/吨整数关口为镍价提供较强的底部成本支撑。供需方面，精炼镍产能继续释放，镍供应显著过剩的产业格局未有改变，社会库存维持累库趋势。综合而言，在供应过剩压力及印尼镍矿扰动降温的影响下，镍价存在回落风险。</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1172"/>
      <w:r>
        <w:rPr>
          <w:rFonts w:hint="eastAsia" w:ascii="楷体" w:hAnsi="楷体" w:eastAsia="楷体"/>
          <w:b/>
          <w:color w:val="000000" w:themeColor="text1"/>
          <w:sz w:val="24"/>
          <w:szCs w:val="24"/>
          <w14:textFill>
            <w14:solidFill>
              <w14:schemeClr w14:val="tx1"/>
            </w14:solidFill>
          </w14:textFill>
        </w:rPr>
        <w:t>不锈钢：下游需求偏淡，预计价格偏弱震荡</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印尼镍矿RKAB审批缓慢为近期价格波动的重要影响因素，其审批缓慢的原因在于政府换届轮替及非法采矿问题，据3月5日印尼官员表示，印尼能矿部已经批准723家申请公司中约120家矿产公司的采矿配额申请，能矿部计划在3月底前完成所有采矿审批，预计市场对印尼镍矿供应不确定性的担忧情绪会随之缓解，价格将回归至基本面逻辑。从基本面来看，不锈钢厂将陆续复产，据Mysteel预估，国内43家不锈钢厂粗钢3月排产312.03万吨，月环比增加21.4%，同比增加11.53%，而节后下游成交多以刚需采购为主，未见需求明显回暖迹象，基本面偏弱对价格带来压力，预计短期不锈钢价格偏弱震荡，持续关注需求状况及印尼镍矿RKAB审批进展。</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510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供需双增预期，短期或维持震荡运行</w:t>
      </w:r>
      <w:bookmarkEnd w:id="27"/>
    </w:p>
    <w:p>
      <w:pPr>
        <w:ind w:left="630" w:leftChars="300"/>
        <w:rPr>
          <w:rFonts w:ascii="楷体" w:hAnsi="楷体" w:eastAsia="楷体"/>
          <w:sz w:val="24"/>
          <w:szCs w:val="24"/>
        </w:rPr>
      </w:pPr>
      <w:r>
        <w:rPr>
          <w:rFonts w:hint="eastAsia" w:ascii="楷体" w:hAnsi="楷体" w:eastAsia="楷体"/>
          <w:sz w:val="24"/>
          <w:szCs w:val="24"/>
        </w:rPr>
        <w:t>3月5日，Si2404主力合约呈冲高回落走势，收盘价13325元/吨，较上一收盘价涨跌幅-0.49%。供应方面，受行情低迷影响，云南保山地区个别工厂近期计划停炉检修，但北方产区供应已在陆续恢复，后续或仍有进一步恢复预期，整体供应或维持增加。需求方面，节后订单暂未出现明显放量，补库有所不及预期，但随着复工复产继续进行，有望逐步恢复。综合而言，行业后续存在供需双增预期，短期盘面维持震荡观点，参考区间13100-13700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13701"/>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4028"/>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轮胎厂高开工与港口高库存并存 胶价上方压力较大</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泰国供应处于季节性收缩时期，原料价格易涨难跌，标胶到港量下降预期偏强。库存方面，国内社会库存回升，青岛深色胶即将呈现累库拐点，浅色库存同比去年上升。需求端来看，节后返工叠加国内需求的全面复苏，下游工厂陆续复工复产，开工率将恢复性提升。整体看，春节后随着复工复产，天然橡胶需求端提振预期偏强，天胶库存或处于去库周期，但较往年偏高的库存依旧制约盘面上行幅度。</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6399"/>
      <w:r>
        <w:rPr>
          <w:rFonts w:hint="eastAsia" w:ascii="楷体" w:hAnsi="楷体" w:eastAsia="楷体"/>
          <w:b/>
          <w:color w:val="000000" w:themeColor="text1"/>
          <w:sz w:val="24"/>
          <w:szCs w:val="24"/>
          <w14:textFill>
            <w14:solidFill>
              <w14:schemeClr w14:val="tx1"/>
            </w14:solidFill>
          </w14:textFill>
        </w:rPr>
        <w:t>聚烯烃：市场多空因素交织，L整体强于PP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上游石化库存为99万吨，较春节前累库41.5万吨，与去年同期相比增幅较大，库存压力较大。聚烯烃自身开工负荷变动不大，但下游进入集中停工期，春节期间开工率大幅走低，需求降至年内冰点。进口方面，LL进口窗口打开，PP进口窗口关闭。聚烯烃基本面变动不大，建议逢低多L，逢高空PP性价比更高。</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30576"/>
      <w:r>
        <w:rPr>
          <w:rFonts w:hint="eastAsia" w:ascii="楷体" w:hAnsi="楷体" w:eastAsia="楷体"/>
          <w:b/>
          <w:color w:val="000000" w:themeColor="text1"/>
          <w:sz w:val="24"/>
          <w:szCs w:val="24"/>
          <w14:textFill>
            <w14:solidFill>
              <w14:schemeClr w14:val="tx1"/>
            </w14:solidFill>
          </w14:textFill>
        </w:rPr>
        <w:t>玻璃：现货价格持续下跌，基差修复</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3月5日报道：今日浮法玻璃现货价格2011元/吨，较上一交易日-8元/吨。供给上，全国浮法玻璃日产量为17.23万吨，维持在高位。库存上，截止到20240229，全国浮法玻璃样本企业总库存5572.2万重箱，环比+146.7万重箱，环比+2.7%，从本周产销来看，预计延续累库。从需求看，下游元宵节后开始动工，但恢复较慢，上游沙河湖北主产区原片厂和中游贸易商库存持续积累，有待消化，周内降价清库，下游回款差，补库谨慎，刚需为主。盘面期现仍处于负反馈中，下游复工明显拖后，短期期价下跌至年线附近弱势震荡，基差逐步收敛。3月主线在前期的需求预期能否兑现，后市重点关注现货降价能否拉的拉动下游补库积极性，短线建议空单在年线附近逐步止盈离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26531"/>
      <w:r>
        <w:rPr>
          <w:rFonts w:hint="eastAsia" w:ascii="楷体" w:hAnsi="楷体" w:eastAsia="楷体"/>
          <w:b/>
          <w:color w:val="000000" w:themeColor="text1"/>
          <w:sz w:val="24"/>
          <w:szCs w:val="24"/>
          <w14:textFill>
            <w14:solidFill>
              <w14:schemeClr w14:val="tx1"/>
            </w14:solidFill>
          </w14:textFill>
        </w:rPr>
        <w:t>纯碱：市场再度炒作封单，中期供给过剩趋势未改</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现货端来看，春节之后现货价格持续阴跌，河北最低的送到价已从节前2300元/吨下跌至1950-2000元/吨。从供给端来看，截止到2024年2月29日，周纯碱产量74.31万吨，涨幅3.45%，青海地区前期受环保影响的产能在逐步提量，部分碱厂短停。从库存上看，上周纯碱企业库存84.76万吨，涨幅13.24%。需求上，上周末部分玻璃厂重碱继续有进口碱补充，需求增量主要看轻碱下游，但高供给情况下，高价销量不佳，高报价低价成交的可能性更大，并且如果从刚需来看，周度表需大约在63-64万吨，但如果纯碱要大幅去库，那么周度表需要提升到75万吨以上，下游接纳空间有限，大规模集中补库难以持续。故我们认为，盘面的反弹更多的是短期消息面的炒作，如果不解决高供给的问题，中期累库趋势难改，前期主力合约下跌至成本附近后企稳反弹收复基差，若近月期价能够收至平水或小幅升水都是较好的高空位置。</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17895"/>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ascii="楷体" w:hAnsi="楷体" w:eastAsia="楷体"/>
          <w:b/>
        </w:rPr>
      </w:pPr>
      <w:bookmarkStart w:id="35" w:name="_Toc2718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期价弱势调整等待现货</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节后以来期现货上涨之后，期价转为震荡调整，市场可能存在两个方面的担忧，其一是短期，主要担心为后期气温上升之后，余粮特别是地趴粮带来的供应压力；其二是国内价格上涨是的内外价差走扩，市场会担心进口增量来补充国内玉米产需缺口。换句话说，市场短期会再度担心阶段性供应压力，中长期产需缺口预期转变亦尚未成为市场共识，这需要市场逐步证实。我们维持谨慎看多观点，建议投资者持有前期多单，如无前期多单则可考虑择机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三方面因素均存在较大不确定性，除去上述的原料成本即玉米之外，副产品更多跟随蛋白粕走势，这取决于外盘美豆走势；行业供需中库存累积需要甄别其持续性，因其不排除是阶段性因素。在我们看来，考虑到盘面生产利润已进入亏损状况，在副产品和行业供需尚未确认之前，暂不适合入场做缩淀粉-玉米价差。综上所述，我们持谨慎看多观点，建议节前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6" w:name="_Toc7438"/>
      <w:r>
        <w:rPr>
          <w:rFonts w:hint="eastAsia" w:ascii="楷体" w:hAnsi="楷体" w:eastAsia="楷体"/>
          <w:b/>
          <w:bCs/>
          <w:color w:val="000000" w:themeColor="text1"/>
          <w14:textFill>
            <w14:solidFill>
              <w14:schemeClr w14:val="tx1"/>
            </w14:solidFill>
          </w14:textFill>
        </w:rPr>
        <w:t>畜禽养殖：鸡蛋现货带动期价偏强震荡</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目前期价结构呈现远月升水结构，表明市场对远期供需预期趋于乐观，这主要源于产能去化即能繁母猪存栏的持续下降，但市场对其改善幅度存在分歧，特别是春节前仔猪现货价格大幅上涨之后，因其使得母猪养殖变得盈利，这将抑制产能的继续去化。而从农业农村部公布的四季度末生猪存栏可以看出，生猪供应有望低于去年同期，但考虑到需求季节性因素，能否改变供需格局尚未可知，而由于去年四季度豆粕和玉米的大幅下跌，生猪养殖饲料成本显著低于去年同期，在这种供需格局和饲料成本的背景下，市场普遍预计现货涨幅有限。接下来需要留意两个方面，其一是生猪价格何时确认季节性低点，及其低点的水平；其二是饲料原料成本，前期期价反弹更多源于后者。据此我们维持中性观点，建议投资者继续观望为宜，等待现货季节性低点后再行入场。</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分析市场可以看出，节前期价持续下跌，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养殖户淘汰积极性持续较高。考虑到节后现货已季节性回落，中期与短期利空因素或已经在很大程度上得以释放，继续下跌空间或有限，接下来或震荡反弹或趋于调整。我们维持中性观点，建议投资者观望，可考虑参与短线操作。</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37" w:name="_Toc20088"/>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8343"/>
      <w:r>
        <w:rPr>
          <w:rFonts w:hint="eastAsia" w:ascii="Times New Roman" w:hAnsi="Times New Roman" w:eastAsia="楷体"/>
          <w:b/>
          <w:color w:val="000000" w:themeColor="text1"/>
          <w:sz w:val="24"/>
          <w:szCs w:val="24"/>
          <w14:textFill>
            <w14:solidFill>
              <w14:schemeClr w14:val="tx1"/>
            </w14:solidFill>
          </w14:textFill>
        </w:rPr>
        <w:t>集运指数（欧线）：现货价格逐步回落，基差进入收敛通道</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上周五盘后公布新一期SCFI欧线数据下跌幅度超9%至2277美元/TEU。周一盘后SCFIS欧线小幅回落3%至2849.6点。目前进入周中的数据真空期。短期看，大多船司继续下调运费，其中马士基将Week11和Week12船代已经将运价下调至1700美金/TEU附近。同时根据最新消息达飞重新评估红海南部地区的情况，考虑个别船只通航红海。</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需求方面，春节后工厂开工、货运需求进入淡季。因此周期性因素拖动EC转弱势，但目前期价深度贴水，现货价格逐步向下收敛，预计期货价格弱震荡区间约为1700至2000点。</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12779"/>
      <w:bookmarkStart w:id="40" w:name="_Toc98426751"/>
      <w:bookmarkStart w:id="41" w:name="_Toc71212556"/>
      <w:bookmarkStart w:id="42" w:name="_Toc19667"/>
      <w:bookmarkStart w:id="43" w:name="_Toc72481108"/>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2024年3月6日星期三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57D13AE"/>
    <w:rsid w:val="064A667C"/>
    <w:rsid w:val="06B2613D"/>
    <w:rsid w:val="06B753E3"/>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1FDC1B35"/>
    <w:rsid w:val="2056595D"/>
    <w:rsid w:val="20AE4DE8"/>
    <w:rsid w:val="21194658"/>
    <w:rsid w:val="216834DE"/>
    <w:rsid w:val="21996AC1"/>
    <w:rsid w:val="219F3EE2"/>
    <w:rsid w:val="21F57098"/>
    <w:rsid w:val="22BB5089"/>
    <w:rsid w:val="24321B2E"/>
    <w:rsid w:val="244B21DE"/>
    <w:rsid w:val="245C7DFE"/>
    <w:rsid w:val="247F3074"/>
    <w:rsid w:val="24B82D9D"/>
    <w:rsid w:val="258A2E5C"/>
    <w:rsid w:val="25B924F3"/>
    <w:rsid w:val="25E06B30"/>
    <w:rsid w:val="268419CF"/>
    <w:rsid w:val="26AC2D80"/>
    <w:rsid w:val="26F95364"/>
    <w:rsid w:val="2B9C319C"/>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6F6249"/>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8042686"/>
    <w:rsid w:val="58246D5D"/>
    <w:rsid w:val="58EC5960"/>
    <w:rsid w:val="59151C86"/>
    <w:rsid w:val="59C52328"/>
    <w:rsid w:val="5AD37D8A"/>
    <w:rsid w:val="5B906095"/>
    <w:rsid w:val="5BF60A75"/>
    <w:rsid w:val="5C9F2D01"/>
    <w:rsid w:val="5D5617A6"/>
    <w:rsid w:val="5D716329"/>
    <w:rsid w:val="5EA23F15"/>
    <w:rsid w:val="5EA7685B"/>
    <w:rsid w:val="5ED40954"/>
    <w:rsid w:val="60BE22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79454F"/>
    <w:rsid w:val="6FE61065"/>
    <w:rsid w:val="70675779"/>
    <w:rsid w:val="713E0334"/>
    <w:rsid w:val="716F5E64"/>
    <w:rsid w:val="72417AFE"/>
    <w:rsid w:val="729B5F03"/>
    <w:rsid w:val="72D92B78"/>
    <w:rsid w:val="72F62A89"/>
    <w:rsid w:val="737357AF"/>
    <w:rsid w:val="74163BE4"/>
    <w:rsid w:val="75292EAC"/>
    <w:rsid w:val="755A5FEF"/>
    <w:rsid w:val="75775016"/>
    <w:rsid w:val="758E0106"/>
    <w:rsid w:val="7626762C"/>
    <w:rsid w:val="778F5135"/>
    <w:rsid w:val="77B53D6B"/>
    <w:rsid w:val="77D54B08"/>
    <w:rsid w:val="784F7772"/>
    <w:rsid w:val="78713929"/>
    <w:rsid w:val="78E55995"/>
    <w:rsid w:val="79267C0B"/>
    <w:rsid w:val="79C90FB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2024-03-06T03:01:02Z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