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_Toc5546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_Toc20747 </w:instrText>
          </w:r>
          <w:r>
            <w:rPr>
              <w:bCs/>
            </w:rPr>
            <w:fldChar w:fldCharType="separate"/>
          </w:r>
          <w:r>
            <w:rPr>
              <w:rFonts w:hint="eastAsia" w:ascii="Times New Roman" w:hAnsi="Times New Roman" w:eastAsia="楷体"/>
              <w:szCs w:val="24"/>
            </w:rPr>
            <w:t>股指：部分仓位逢高止盈，关注两会表述是否符合预期，再行入场</w:t>
          </w:r>
          <w:r>
            <w:rPr>
              <w:bCs/>
            </w:rPr>
            <w:fldChar w:fldCharType="end"/>
          </w:r>
        </w:p>
        <w:p>
          <w:pPr>
            <w:pStyle w:val="59"/>
            <w:tabs>
              <w:tab w:val="right" w:leader="dot" w:pos="8306"/>
            </w:tabs>
          </w:pPr>
          <w:r>
            <w:rPr>
              <w:bCs/>
            </w:rPr>
            <w:fldChar w:fldCharType="begin"/>
          </w:r>
          <w:r>
            <w:rPr>
              <w:bCs/>
            </w:rPr>
            <w:instrText xml:space="preserve"> HYPERLINK \l _Toc1472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_Toc7560 </w:instrText>
          </w:r>
          <w:r>
            <w:rPr>
              <w:bCs/>
            </w:rPr>
            <w:fldChar w:fldCharType="separate"/>
          </w:r>
          <w:r>
            <w:rPr>
              <w:rFonts w:hint="eastAsia" w:ascii="Times New Roman" w:hAnsi="Times New Roman" w:eastAsia="楷体"/>
              <w:szCs w:val="24"/>
            </w:rPr>
            <w:t>贵金属：联储官员讲话提示或于二季度启动降息，贵金属价格上涨</w:t>
          </w:r>
          <w:r>
            <w:rPr>
              <w:bCs/>
            </w:rPr>
            <w:fldChar w:fldCharType="end"/>
          </w:r>
        </w:p>
        <w:p>
          <w:pPr>
            <w:pStyle w:val="59"/>
            <w:tabs>
              <w:tab w:val="right" w:leader="dot" w:pos="8306"/>
            </w:tabs>
          </w:pPr>
          <w:r>
            <w:rPr>
              <w:bCs/>
            </w:rPr>
            <w:fldChar w:fldCharType="begin"/>
          </w:r>
          <w:r>
            <w:rPr>
              <w:bCs/>
            </w:rPr>
            <w:instrText xml:space="preserve"> HYPERLINK \l _Toc13608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_Toc3923 </w:instrText>
          </w:r>
          <w:r>
            <w:rPr>
              <w:bCs/>
            </w:rPr>
            <w:fldChar w:fldCharType="separate"/>
          </w:r>
          <w:r>
            <w:rPr>
              <w:rFonts w:hint="eastAsia" w:ascii="楷体" w:hAnsi="楷体" w:eastAsia="楷体"/>
              <w:szCs w:val="24"/>
            </w:rPr>
            <w:t>碳酸锂：现货价格上行，期价维持涨势</w:t>
          </w:r>
          <w:r>
            <w:rPr>
              <w:bCs/>
            </w:rPr>
            <w:fldChar w:fldCharType="end"/>
          </w:r>
        </w:p>
        <w:p>
          <w:pPr>
            <w:pStyle w:val="74"/>
            <w:tabs>
              <w:tab w:val="right" w:leader="dot" w:pos="8306"/>
            </w:tabs>
          </w:pPr>
          <w:r>
            <w:rPr>
              <w:bCs/>
            </w:rPr>
            <w:fldChar w:fldCharType="begin"/>
          </w:r>
          <w:r>
            <w:rPr>
              <w:bCs/>
            </w:rPr>
            <w:instrText xml:space="preserve"> HYPERLINK \l _Toc9183 </w:instrText>
          </w:r>
          <w:r>
            <w:rPr>
              <w:bCs/>
            </w:rPr>
            <w:fldChar w:fldCharType="separate"/>
          </w:r>
          <w:r>
            <w:rPr>
              <w:rFonts w:hint="eastAsia" w:ascii="楷体" w:hAnsi="楷体" w:eastAsia="楷体"/>
              <w:szCs w:val="24"/>
            </w:rPr>
            <w:t>铜：短期维持震荡运行</w:t>
          </w:r>
          <w:r>
            <w:rPr>
              <w:bCs/>
            </w:rPr>
            <w:fldChar w:fldCharType="end"/>
          </w:r>
        </w:p>
        <w:p>
          <w:pPr>
            <w:pStyle w:val="74"/>
            <w:tabs>
              <w:tab w:val="right" w:leader="dot" w:pos="8306"/>
            </w:tabs>
          </w:pPr>
          <w:r>
            <w:rPr>
              <w:bCs/>
            </w:rPr>
            <w:fldChar w:fldCharType="begin"/>
          </w:r>
          <w:r>
            <w:rPr>
              <w:bCs/>
            </w:rPr>
            <w:instrText xml:space="preserve"> HYPERLINK \l _Toc10884 </w:instrText>
          </w:r>
          <w:r>
            <w:rPr>
              <w:bCs/>
            </w:rPr>
            <w:fldChar w:fldCharType="separate"/>
          </w:r>
          <w:r>
            <w:rPr>
              <w:rFonts w:hint="eastAsia" w:ascii="楷体" w:hAnsi="楷体" w:eastAsia="楷体"/>
              <w:szCs w:val="24"/>
            </w:rPr>
            <w:t>铝：铝价区间偏强震荡</w:t>
          </w:r>
          <w:r>
            <w:rPr>
              <w:bCs/>
            </w:rPr>
            <w:fldChar w:fldCharType="end"/>
          </w:r>
        </w:p>
        <w:p>
          <w:pPr>
            <w:pStyle w:val="74"/>
            <w:tabs>
              <w:tab w:val="right" w:leader="dot" w:pos="8306"/>
            </w:tabs>
          </w:pPr>
          <w:r>
            <w:rPr>
              <w:bCs/>
            </w:rPr>
            <w:fldChar w:fldCharType="begin"/>
          </w:r>
          <w:r>
            <w:rPr>
              <w:bCs/>
            </w:rPr>
            <w:instrText xml:space="preserve"> HYPERLINK \l _Toc358 </w:instrText>
          </w:r>
          <w:r>
            <w:rPr>
              <w:bCs/>
            </w:rPr>
            <w:fldChar w:fldCharType="separate"/>
          </w:r>
          <w:r>
            <w:rPr>
              <w:rFonts w:hint="eastAsia" w:ascii="楷体" w:hAnsi="楷体" w:eastAsia="楷体"/>
              <w:szCs w:val="24"/>
            </w:rPr>
            <w:t>锌：锌价下方有限，仍有走强趋势</w:t>
          </w:r>
          <w:r>
            <w:rPr>
              <w:bCs/>
            </w:rPr>
            <w:fldChar w:fldCharType="end"/>
          </w:r>
        </w:p>
        <w:p>
          <w:pPr>
            <w:pStyle w:val="74"/>
            <w:tabs>
              <w:tab w:val="right" w:leader="dot" w:pos="8306"/>
            </w:tabs>
          </w:pPr>
          <w:r>
            <w:rPr>
              <w:bCs/>
            </w:rPr>
            <w:fldChar w:fldCharType="begin"/>
          </w:r>
          <w:r>
            <w:rPr>
              <w:bCs/>
            </w:rPr>
            <w:instrText xml:space="preserve"> HYPERLINK \l _Toc21820 </w:instrText>
          </w:r>
          <w:r>
            <w:rPr>
              <w:bCs/>
            </w:rPr>
            <w:fldChar w:fldCharType="separate"/>
          </w:r>
          <w:r>
            <w:rPr>
              <w:rFonts w:hint="eastAsia" w:ascii="楷体" w:hAnsi="楷体" w:eastAsia="楷体"/>
              <w:szCs w:val="24"/>
            </w:rPr>
            <w:t>镍：供应过剩压力下，镍价继续反弹动能有限</w:t>
          </w:r>
          <w:r>
            <w:rPr>
              <w:bCs/>
            </w:rPr>
            <w:fldChar w:fldCharType="end"/>
          </w:r>
        </w:p>
        <w:p>
          <w:pPr>
            <w:pStyle w:val="74"/>
            <w:tabs>
              <w:tab w:val="right" w:leader="dot" w:pos="8306"/>
            </w:tabs>
          </w:pPr>
          <w:r>
            <w:rPr>
              <w:bCs/>
            </w:rPr>
            <w:fldChar w:fldCharType="begin"/>
          </w:r>
          <w:r>
            <w:rPr>
              <w:bCs/>
            </w:rPr>
            <w:instrText xml:space="preserve"> HYPERLINK \l _Toc17784 </w:instrText>
          </w:r>
          <w:r>
            <w:rPr>
              <w:bCs/>
            </w:rPr>
            <w:fldChar w:fldCharType="separate"/>
          </w:r>
          <w:r>
            <w:rPr>
              <w:rFonts w:hint="eastAsia" w:ascii="楷体" w:hAnsi="楷体" w:eastAsia="楷体"/>
              <w:szCs w:val="24"/>
            </w:rPr>
            <w:t>不锈钢：多空交织，关注印尼镍矿RKAB进展</w:t>
          </w:r>
          <w:r>
            <w:rPr>
              <w:bCs/>
            </w:rPr>
            <w:fldChar w:fldCharType="end"/>
          </w:r>
        </w:p>
        <w:p>
          <w:pPr>
            <w:pStyle w:val="74"/>
            <w:tabs>
              <w:tab w:val="right" w:leader="dot" w:pos="8306"/>
            </w:tabs>
          </w:pPr>
          <w:r>
            <w:rPr>
              <w:bCs/>
            </w:rPr>
            <w:fldChar w:fldCharType="begin"/>
          </w:r>
          <w:r>
            <w:rPr>
              <w:bCs/>
            </w:rPr>
            <w:instrText xml:space="preserve"> HYPERLINK \l _Toc4603 </w:instrText>
          </w:r>
          <w:r>
            <w:rPr>
              <w:bCs/>
            </w:rPr>
            <w:fldChar w:fldCharType="separate"/>
          </w:r>
          <w:r>
            <w:rPr>
              <w:rFonts w:hint="eastAsia" w:ascii="楷体" w:hAnsi="楷体" w:eastAsia="楷体"/>
              <w:szCs w:val="24"/>
            </w:rPr>
            <w:t>工业硅：市场情绪整体偏弱，盘面或震荡为主</w:t>
          </w:r>
          <w:r>
            <w:rPr>
              <w:bCs/>
            </w:rPr>
            <w:fldChar w:fldCharType="end"/>
          </w:r>
        </w:p>
        <w:p>
          <w:pPr>
            <w:pStyle w:val="59"/>
            <w:tabs>
              <w:tab w:val="right" w:leader="dot" w:pos="8306"/>
            </w:tabs>
          </w:pPr>
          <w:r>
            <w:rPr>
              <w:bCs/>
            </w:rPr>
            <w:fldChar w:fldCharType="begin"/>
          </w:r>
          <w:r>
            <w:rPr>
              <w:bCs/>
            </w:rPr>
            <w:instrText xml:space="preserve"> HYPERLINK \l _Toc29562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_Toc24022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轮胎厂高开工与港口高库存并存 胶价持续上行压力较大</w:t>
          </w:r>
          <w:r>
            <w:rPr>
              <w:bCs/>
            </w:rPr>
            <w:fldChar w:fldCharType="end"/>
          </w:r>
        </w:p>
        <w:p>
          <w:pPr>
            <w:pStyle w:val="74"/>
            <w:tabs>
              <w:tab w:val="right" w:leader="dot" w:pos="8306"/>
            </w:tabs>
          </w:pPr>
          <w:r>
            <w:rPr>
              <w:bCs/>
            </w:rPr>
            <w:fldChar w:fldCharType="begin"/>
          </w:r>
          <w:r>
            <w:rPr>
              <w:bCs/>
            </w:rPr>
            <w:instrText xml:space="preserve"> HYPERLINK \l _Toc1643 </w:instrText>
          </w:r>
          <w:r>
            <w:rPr>
              <w:bCs/>
            </w:rPr>
            <w:fldChar w:fldCharType="separate"/>
          </w:r>
          <w:r>
            <w:rPr>
              <w:rFonts w:hint="eastAsia" w:ascii="楷体" w:hAnsi="楷体" w:eastAsia="楷体"/>
              <w:szCs w:val="24"/>
            </w:rPr>
            <w:t>聚烯烃：市场多空因素交织，L整体强于PP</w:t>
          </w:r>
          <w:r>
            <w:rPr>
              <w:bCs/>
            </w:rPr>
            <w:fldChar w:fldCharType="end"/>
          </w:r>
        </w:p>
        <w:p>
          <w:pPr>
            <w:pStyle w:val="74"/>
            <w:tabs>
              <w:tab w:val="right" w:leader="dot" w:pos="8306"/>
            </w:tabs>
          </w:pPr>
          <w:r>
            <w:rPr>
              <w:bCs/>
            </w:rPr>
            <w:fldChar w:fldCharType="begin"/>
          </w:r>
          <w:r>
            <w:rPr>
              <w:bCs/>
            </w:rPr>
            <w:instrText xml:space="preserve"> HYPERLINK \l _Toc22813 </w:instrText>
          </w:r>
          <w:r>
            <w:rPr>
              <w:bCs/>
            </w:rPr>
            <w:fldChar w:fldCharType="separate"/>
          </w:r>
          <w:r>
            <w:rPr>
              <w:rFonts w:hint="eastAsia" w:ascii="楷体" w:hAnsi="楷体" w:eastAsia="楷体"/>
              <w:szCs w:val="24"/>
            </w:rPr>
            <w:t>玻璃：节后继续累库，需求不及预期</w:t>
          </w:r>
          <w:r>
            <w:rPr>
              <w:bCs/>
            </w:rPr>
            <w:fldChar w:fldCharType="end"/>
          </w:r>
        </w:p>
        <w:p>
          <w:pPr>
            <w:pStyle w:val="74"/>
            <w:tabs>
              <w:tab w:val="right" w:leader="dot" w:pos="8306"/>
            </w:tabs>
          </w:pPr>
          <w:r>
            <w:rPr>
              <w:bCs/>
            </w:rPr>
            <w:fldChar w:fldCharType="begin"/>
          </w:r>
          <w:r>
            <w:rPr>
              <w:bCs/>
            </w:rPr>
            <w:instrText xml:space="preserve"> HYPERLINK \l _Toc12642 </w:instrText>
          </w:r>
          <w:r>
            <w:rPr>
              <w:bCs/>
            </w:rPr>
            <w:fldChar w:fldCharType="separate"/>
          </w:r>
          <w:r>
            <w:rPr>
              <w:rFonts w:hint="eastAsia" w:ascii="楷体" w:hAnsi="楷体" w:eastAsia="楷体"/>
              <w:szCs w:val="24"/>
            </w:rPr>
            <w:t>纯碱：中期供给过剩情况未改，等待反弹高空</w:t>
          </w:r>
          <w:r>
            <w:rPr>
              <w:bCs/>
            </w:rPr>
            <w:fldChar w:fldCharType="end"/>
          </w:r>
        </w:p>
        <w:p>
          <w:pPr>
            <w:pStyle w:val="59"/>
            <w:tabs>
              <w:tab w:val="right" w:leader="dot" w:pos="8306"/>
            </w:tabs>
          </w:pPr>
          <w:r>
            <w:rPr>
              <w:bCs/>
            </w:rPr>
            <w:fldChar w:fldCharType="begin"/>
          </w:r>
          <w:r>
            <w:rPr>
              <w:bCs/>
            </w:rPr>
            <w:instrText xml:space="preserve"> HYPERLINK \l _Toc22130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_Toc16597 </w:instrText>
          </w:r>
          <w:r>
            <w:rPr>
              <w:bCs/>
            </w:rPr>
            <w:fldChar w:fldCharType="separate"/>
          </w:r>
          <w:r>
            <w:rPr>
              <w:rFonts w:hint="eastAsia" w:ascii="楷体" w:hAnsi="楷体" w:eastAsia="楷体"/>
              <w:bCs/>
            </w:rPr>
            <w:t>玉米与淀粉：</w:t>
          </w:r>
          <w:r>
            <w:rPr>
              <w:rFonts w:hint="eastAsia" w:ascii="楷体" w:hAnsi="楷体" w:eastAsia="楷体"/>
            </w:rPr>
            <w:t>期价震荡调整</w:t>
          </w:r>
          <w:r>
            <w:rPr>
              <w:bCs/>
            </w:rPr>
            <w:fldChar w:fldCharType="end"/>
          </w:r>
        </w:p>
        <w:p>
          <w:pPr>
            <w:pStyle w:val="74"/>
            <w:tabs>
              <w:tab w:val="right" w:leader="dot" w:pos="8306"/>
            </w:tabs>
          </w:pPr>
          <w:r>
            <w:rPr>
              <w:bCs/>
            </w:rPr>
            <w:fldChar w:fldCharType="begin"/>
          </w:r>
          <w:r>
            <w:rPr>
              <w:bCs/>
            </w:rPr>
            <w:instrText xml:space="preserve"> HYPERLINK \l _Toc2917 </w:instrText>
          </w:r>
          <w:r>
            <w:rPr>
              <w:bCs/>
            </w:rPr>
            <w:fldChar w:fldCharType="separate"/>
          </w:r>
          <w:r>
            <w:rPr>
              <w:rFonts w:hint="eastAsia" w:ascii="楷体" w:hAnsi="楷体" w:eastAsia="楷体"/>
              <w:bCs/>
            </w:rPr>
            <w:t>畜禽养殖：生猪现货带动期价反弹</w:t>
          </w:r>
          <w:r>
            <w:rPr>
              <w:bCs/>
            </w:rPr>
            <w:fldChar w:fldCharType="end"/>
          </w:r>
        </w:p>
        <w:p>
          <w:pPr>
            <w:pStyle w:val="59"/>
            <w:tabs>
              <w:tab w:val="right" w:leader="dot" w:pos="8306"/>
            </w:tabs>
          </w:pPr>
          <w:r>
            <w:rPr>
              <w:bCs/>
            </w:rPr>
            <w:fldChar w:fldCharType="begin"/>
          </w:r>
          <w:r>
            <w:rPr>
              <w:bCs/>
            </w:rPr>
            <w:instrText xml:space="preserve"> HYPERLINK \l _Toc2877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_Toc14088 </w:instrText>
          </w:r>
          <w:r>
            <w:rPr>
              <w:bCs/>
            </w:rPr>
            <w:fldChar w:fldCharType="separate"/>
          </w:r>
          <w:r>
            <w:rPr>
              <w:rFonts w:hint="eastAsia" w:ascii="Times New Roman" w:hAnsi="Times New Roman" w:eastAsia="楷体"/>
              <w:szCs w:val="24"/>
            </w:rPr>
            <w:t>集运指数（欧线）：达飞宣布考虑考个别船只复航，SCFI欧线下跌超9%</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554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074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部分仓位逢高止盈，关注两会表述是否符合预期，再行入场</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过往历史看，两会期间存在相对明显的“逢会必跌”的“日历效应”，主要是基于一个利好预期兑现，靴子落地的逻辑。当前的反弹如果持续至两会后，还需要有进一步基本面预期的变化，或是经济基本面预期变化，抑或是产业基本面预期变化，从而推动结构性行情。考虑到市场短期反弹幅度较大、或面临上方交易密集区压力，短线获利丰厚的仓位可以部分仓位逢高止盈，关注两会表述是否符合预期，再行入场。</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47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7560"/>
      <w:r>
        <w:rPr>
          <w:rFonts w:hint="eastAsia" w:ascii="Times New Roman" w:hAnsi="Times New Roman" w:eastAsia="楷体"/>
          <w:b/>
          <w:color w:val="000000" w:themeColor="text1"/>
          <w:sz w:val="24"/>
          <w:szCs w:val="24"/>
          <w14:textFill>
            <w14:solidFill>
              <w14:schemeClr w14:val="tx1"/>
            </w14:solidFill>
          </w14:textFill>
        </w:rPr>
        <w:t>贵金属：联储官员讲话提示或于二季度启动降息，贵金属价格上涨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PCE通胀增速环比回升，贵金属价格上涨，沪金周涨2.28%至490.58元/克，沪银周涨1.58%至5997元/千克。美国1月核心PCE物价指数环比涨幅从上月的0.2%反弹至0.4%，符合市场预期，创2023年4月以来最大涨幅；同比增速回落至2.8%。美国1月个人收入环比增1%；个人支出环比增长0.2%。截至2月27日当周，COMEX黄金期货管理基金净多持仓增加6230手至56153手；COMEX白银期货管理基金持仓转为净空持仓，净持仓减少9008手至净空仓4083手。截至3月1日，SPDR黄金ETF持仓823.77吨，周内流出4.04吨；SLV白银ETF持仓13405.05吨，周内流入73.98吨。美联储博斯蒂克表示，通胀尚未达到目标，宣布胜利为时尚早，重申今年夏季开始降息可能是合适的。美联储梅斯特讲话称，需求将适度下降，今年的经济增长不会像去年那样强劲；PCE数据没有改变政策利率决策；目前认为今年适宜进行三次降息。市场将基于最新通胀表现调整降息预期，贵金属价格或维持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360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923"/>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碳酸锂：现货价格上行，期价维持涨势</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维持涨势，07合约收涨3.78%至119450元/吨。节后开工率相对偏低，江西部分厂商因环保因素影响暂停开工，部分大型企业例行检修，江西地区周产量有所下降。盐湖地区工业级碳酸锂后续存在例行放货预期。进入三月后品种或面临仓单注销压力，部分现货流入市场或为供应贡献增量。节后需求略微回暖，3月下游排产环比上升约10%，由于年前下游已进行部分备货，采购需求有待进一步观察，暂未见大幅补库。据百川盈孚数据，本周碳酸锂工厂库存约31000吨，较上周修正后的库存数据下降8.03%。期价大幅上涨期间，贸易商、期现商积极询价采购，散单成交有所上升。后续关注下游补库需求，以及江西环保督察推进情况，上方12月初前高压力突破后，上方留意13万元/吨附近的去年四季度矿石提锂成本线以及中期均线压力，消息面因素影响下期价短期内或偏强运行。</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9183"/>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短期维持震荡运行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(1)库存：3月1日，SHFE仓单库存132362吨，增498吨；SHFE周库存214487吨，较上周五增33164吨；LME仓单库存121375吨，减1300吨。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(2)精废价差：3月1日，Mysteel精废价差1490，扩张14。目前价差在合理价差1388之上。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公布2月ISM制造业指数，录得47.8，大幅低于市场预期值和前值，连续两个月反弹后再次走弱，美联储降息预期有所调整，美元指数弱势震荡，提振铜价。关注本周五美国非农数据，若就业数据走弱，可能再次强化短期降息预期。国内市场两会临近，政策预期变化仍可能对情绪形成干扰。基本面，铜精矿TC短暂企稳后继续下行，建议持续关注冶炼端产出情况。当前国内库存持续累增，需求在逐步验证中，短期价格驱动不明显，震荡为主，参考区间68500-69500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10884"/>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铝价区间偏强震荡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官员表示短期内降息仍有存风险，联储降息预期再度延迟，欧元区经济数据表现不佳，海外经济整体偏软，另外美对俄的制裁方案暂时不包括工业金属，消息面影响减弱。国内依旧延续积极向好的政策信号，支持经济发展。供应端整体保持稳定，内蒙古个别企业短暂停电，影响少量 产能开产，云南地区产能有复产消息传出，实际短期内时间复产可能性较小，铝土矿价格持续攀升，带动氧化铝价格走强，电解铝生产成本 重心上移，下游需求在节后逐步修复，进入金三银四消费旺季，铝棒库存出现拐点，铸锭库存累积，去库节奏缓慢。宏观情绪多空博弈，供应端小幅减产但影响较小，需求有旺季消费预期，年后地产基建逐步恢复开工，铝价仍有支撑， 预期价格区间偏强震荡运行 ，参考区间18600-19300。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358"/>
      <w:r>
        <w:rPr>
          <w:rFonts w:hint="eastAsia" w:ascii="楷体" w:hAnsi="楷体" w:eastAsia="楷体"/>
          <w:b/>
          <w:color w:val="000000" w:themeColor="text1"/>
          <w:sz w:val="24"/>
          <w:szCs w:val="24"/>
          <w14:textFill>
            <w14:solidFill>
              <w14:schemeClr w14:val="tx1"/>
            </w14:solidFill>
          </w14:textFill>
        </w:rPr>
        <w:t>锌：锌价下方有限，仍有走强趋势</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制造业数据表现偏弱，联储官员发言偏鹰，市场仍在博弈降息窗口，国内两会召开，宏观面情绪对市场仍有影响。基本面上看，上游矿产供应依旧偏紧，加工费低位，精矿港口库存持续减少，中游冶炼厂利润持续压缩，冶炼利润在负反馈之下中游厂家检修减停预期走增，下游镀锌及压铸合金等开工率提升，需求缓慢恢复，锌价下方仍有支撑，价格反弹修复偏强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1820"/>
      <w:r>
        <w:rPr>
          <w:rFonts w:hint="eastAsia" w:ascii="楷体" w:hAnsi="楷体" w:eastAsia="楷体"/>
          <w:b/>
          <w:color w:val="000000" w:themeColor="text1"/>
          <w:sz w:val="24"/>
          <w:szCs w:val="24"/>
          <w14:textFill>
            <w14:solidFill>
              <w14:schemeClr w14:val="tx1"/>
            </w14:solidFill>
          </w14:textFill>
        </w:rPr>
        <w:t>镍：供应过剩压力下，镍价继续反弹动能有限</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印尼能矿部表示印尼镍矿RKAB已批准1.45亿吨镍矿的采矿配额(3年期总量)，2024年审批进度约28%左右，审批进度稍有进展但整体仍然缓慢，印尼镍矿流通资源偏紧，市场对镍矿供应担忧情绪仍存。成本方面，受印尼镍矿RKAB审批缓慢及菲律宾镍矿仍处于季节性供应淡季的影响，镍矿价格及镍铁价格走强。此外，中间品和硫酸镍在阶段性供需紧张状况下价格坚挺。供需方面，镍仍处于供应明显过剩格局，上周全球镍社会库存维持趋势性累库。综合而言，印尼镍矿RKAB审批缓慢对镍价扰动仍存，原料价格普遍偏强运行，为镍价提供成本支撑，但镍供应过剩格局带来供持续性压制，镍价继续反弹空间有限，上方压力位参考140000元/吨，操作上逢高沽空为主。此处提醒，若印尼镍矿RKAB审批有明显进展，将带来价格回落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7784"/>
      <w:r>
        <w:rPr>
          <w:rFonts w:hint="eastAsia" w:ascii="楷体" w:hAnsi="楷体" w:eastAsia="楷体"/>
          <w:b/>
          <w:color w:val="000000" w:themeColor="text1"/>
          <w:sz w:val="24"/>
          <w:szCs w:val="24"/>
          <w14:textFill>
            <w14:solidFill>
              <w14:schemeClr w14:val="tx1"/>
            </w14:solidFill>
          </w14:textFill>
        </w:rPr>
        <w:t>不锈钢：多空交织，关注印尼镍矿RKAB进展</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印尼能矿部表示印尼镍矿RKAB已批准1.45亿吨镍矿的采矿配额(3年期总量)，2024年审批进度约28%左右，审批进度稍有进展但整体仍然缓慢，印尼镍矿流通资源偏紧，市场对镍矿供应担忧情绪仍存。原料方面，受印尼镍矿RKAB审批缓慢的影响，镍矿短期供应偏紧，镍矿价格及镍铁价格走强。供应方面，不锈钢厂将陆续复产，据Mysteel预估，国内43家不锈钢厂粗钢3月排产312.03万吨，月环比增加21.4%，同比增加11.53%。需求方面，节后下游成交多以刚需采购为主，未见需求明显回暖迹象。库存方面，上周社会库存小幅累幅0.68%。综合而言，一方面，印尼镍矿RKAB审批缓慢使得镍矿和镍铁价格上涨，不锈钢成本支撑走强；另一方面，钢厂供应将有明显增量，而需求未见明显回暖，基本面偏弱对价格施压。预计不锈钢价或震荡偏弱运行，关注印尼镍矿RKAB审批进展及两会宏观情绪扰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460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市场情绪整体偏弱，盘面或震荡为主</w:t>
      </w:r>
      <w:bookmarkEnd w:id="27"/>
    </w:p>
    <w:p>
      <w:pPr>
        <w:ind w:left="630" w:leftChars="300"/>
        <w:rPr>
          <w:rFonts w:ascii="楷体" w:hAnsi="楷体" w:eastAsia="楷体"/>
          <w:sz w:val="24"/>
          <w:szCs w:val="24"/>
        </w:rPr>
      </w:pPr>
      <w:r>
        <w:rPr>
          <w:rFonts w:hint="eastAsia" w:ascii="楷体" w:hAnsi="楷体" w:eastAsia="楷体"/>
          <w:sz w:val="24"/>
          <w:szCs w:val="24"/>
        </w:rPr>
        <w:t>3月1日，Si2404主力合约呈冲高回落走势，收盘价13300元/吨，较上一收盘价涨跌幅＋1.06%。上周下游需求有所恢复，但暂无明显放量，叠加北方大厂下调报价，市场情绪整体偏弱。目前，行业呈现供需双增格局，在下游补库有望逐步恢复，且盘面估值相对低位，预计进一步下跌空间有限。但也要注意北方供应存在进一步恢复预期，叠加库存高位，对市场反弹也存在压制作用。整体而言，短期或维持震荡运行，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29562"/>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402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轮胎厂高开工与港口高库存并存 胶价持续上行压力较大</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较往年偏高的库存依旧制约盘面上行幅度。</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643"/>
      <w:r>
        <w:rPr>
          <w:rFonts w:hint="eastAsia" w:ascii="楷体" w:hAnsi="楷体" w:eastAsia="楷体"/>
          <w:b/>
          <w:color w:val="000000" w:themeColor="text1"/>
          <w:sz w:val="24"/>
          <w:szCs w:val="24"/>
          <w14:textFill>
            <w14:solidFill>
              <w14:schemeClr w14:val="tx1"/>
            </w14:solidFill>
          </w14:textFill>
        </w:rPr>
        <w:t>聚烯烃：市场多空因素交织，L整体强于PP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2813"/>
      <w:r>
        <w:rPr>
          <w:rFonts w:hint="eastAsia" w:ascii="楷体" w:hAnsi="楷体" w:eastAsia="楷体"/>
          <w:b/>
          <w:color w:val="000000" w:themeColor="text1"/>
          <w:sz w:val="24"/>
          <w:szCs w:val="24"/>
          <w14:textFill>
            <w14:solidFill>
              <w14:schemeClr w14:val="tx1"/>
            </w14:solidFill>
          </w14:textFill>
        </w:rPr>
        <w:t>玻璃：节后继续累库，需求不及预期</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玻璃处于供强需弱，累库阶段，复产后需求不及预期。春节期间玻璃大幅累库，春节之后，下游深加工回款压力大和订单压力未起量的情绪下，产业链上下游库存传导并不顺畅，元宵节之后，下游虽然复工但复产较差，原片厂和贸易商库存较高，基本采取降价销售清库。供给端方面，行业近期复产产线点火较多，产量仍在提量当中，供给偏强。需求端方面，年后地产竣工高峰期结束，高回款压力下，下游虽然有补库需求但大规模备货概率较低，按需采购为主。短期在需求不及预期下，期现延续前期的负反馈行情。从盘面上看，3月上游厂商保价即将结束，新订单价格分化较大，贸易商和原片厂家价格倒挂的情况下，深加工厂期望中上游进一步降价得到更优价格，因此观望情绪较浓，盘面仍处于负反馈局势中，但目前下跌至年线附近，短线建议观望，等待选择方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12642"/>
      <w:r>
        <w:rPr>
          <w:rFonts w:hint="eastAsia" w:ascii="楷体" w:hAnsi="楷体" w:eastAsia="楷体"/>
          <w:b/>
          <w:color w:val="000000" w:themeColor="text1"/>
          <w:sz w:val="24"/>
          <w:szCs w:val="24"/>
          <w14:textFill>
            <w14:solidFill>
              <w14:schemeClr w14:val="tx1"/>
            </w14:solidFill>
          </w14:textFill>
        </w:rPr>
        <w:t>纯碱：中期供给过剩情况未改，等待反弹高空</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应方面，开工率继续上行，前期环保减产产线逐步恢复。截至2月22日，周纯碱产量74.31万吨，涨幅3.45%；周内纯碱企业库存84.76万吨，涨幅13.24%，阿拉善地区胀库。碱厂待发订单接近7天，环比窄幅下降，下游基本保持刚需补库。 纯碱供给过剩格局短期难解，但累库因素的影响力边际减弱。供给方面，节后检修较少，前期环保减产产线提量，2月-3月进口碱到港较多，整体供给处于宽松状态。现货端，3月以后库存快速累积，现货价格下行趋势未改，目前3月初河北重碱报价在2000-2100元/吨，较上周下降100元/吨。从需求端看，下游多数也处于供给过剩的状态，新的爆发增长点较少，光伏玻璃仍维持着高产能运转，浮法玻璃需求稳定，厂家补库偏刚需，整体供给增量高于需求恢复量。从盘面来看，主力合约随着现货下跌，基差逐步收敛，短期在氨碱法完全成本线附近弱势震荡。后市在产量高位的情况下，中期供给过剩的趋势难改，进一步下穿成本需要库存大幅胀库或者成本端下降打开下方空间。操作上，建议反弹逢高沽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2130"/>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659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期价震荡调整</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短期，主要担心为后期气温上升之后，余粮特别是地趴粮带来的供应压力；其二是国内价格上涨是的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三方面因素均存在较大不确定性，除去上述的原料成本即玉米之外，副产品更多跟随蛋白粕走势，这取决于外盘美豆走势；行业供需中库存累积需要甄别其持续性，因其不排除是阶段性因素。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2917"/>
      <w:r>
        <w:rPr>
          <w:rFonts w:hint="eastAsia" w:ascii="楷体" w:hAnsi="楷体" w:eastAsia="楷体"/>
          <w:b/>
          <w:bCs/>
          <w:color w:val="000000" w:themeColor="text1"/>
          <w14:textFill>
            <w14:solidFill>
              <w14:schemeClr w14:val="tx1"/>
            </w14:solidFill>
          </w14:textFill>
        </w:rPr>
        <w:t>畜禽养殖：生猪现货带动期价反弹</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对于现货而言，从农业农村部公布的四季度末生猪存栏可以看出，生猪供应有望低于去年同期，但考虑到需求季节性因素，能否改变供需格局尚未可知，而由于去年四季度豆粕和玉米的大幅下跌，生猪养殖饲料成本显著低于去年同期，在这种供需格局和饲料成本的背景下，市场普遍预计现货涨幅有限。接下来需要留意两个方面，其一是生猪价格何时确认季节性低点，及其低点的水平；其二是饲料原料成本，前期期价反弹更多源于后者。据此我们维持中性观点，建议投资者继续观望为宜，等待现货止跌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2877"/>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4088"/>
      <w:r>
        <w:rPr>
          <w:rFonts w:hint="eastAsia" w:ascii="Times New Roman" w:hAnsi="Times New Roman" w:eastAsia="楷体"/>
          <w:b/>
          <w:color w:val="000000" w:themeColor="text1"/>
          <w:sz w:val="24"/>
          <w:szCs w:val="24"/>
          <w14:textFill>
            <w14:solidFill>
              <w14:schemeClr w14:val="tx1"/>
            </w14:solidFill>
          </w14:textFill>
        </w:rPr>
        <w:t>集运指数（欧线）：达飞宣布考虑考个别船只复航，SCFI欧线下跌超9%</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一盘后公布新一期SCFI欧线数据下跌幅度超9%至2277美元/TEU。短期看，大多船司继续下调运费，其中马士基将Week11（3.10-3.16）和Week12（3.17-3.23）船代已经将运价下调至1700美金/TEU附近。同时根据最新消息达飞重新评估红海南部地区的情况，考虑个别船只通航红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需求方面，春节长假后，运力供给的恢复一般较快，而工厂开工、货运需求则缓慢提升。因此周期性因素拖动EC转弱势，预计期货价格弱震荡区间约为1700至2000点。</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1212556"/>
      <w:bookmarkStart w:id="41" w:name="_Toc12779"/>
      <w:bookmarkStart w:id="42" w:name="_Toc72481108"/>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2024年3月4日星期一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8A2E5C"/>
    <w:rsid w:val="25B924F3"/>
    <w:rsid w:val="25E06B30"/>
    <w:rsid w:val="268419CF"/>
    <w:rsid w:val="26AC2D80"/>
    <w:rsid w:val="26F95364"/>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2024-03-04T02:25:21Z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