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6" w:name="_GoBack"/>
          <w:bookmarkEnd w:id="46"/>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_Toc20776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_Toc25082 </w:instrText>
          </w:r>
          <w:r>
            <w:rPr>
              <w:bCs/>
            </w:rPr>
            <w:fldChar w:fldCharType="separate"/>
          </w:r>
          <w:r>
            <w:rPr>
              <w:rFonts w:hint="eastAsia" w:ascii="Times New Roman" w:hAnsi="Times New Roman" w:eastAsia="楷体"/>
              <w:szCs w:val="24"/>
            </w:rPr>
            <w:t>股指：多单逢高止盈</w:t>
          </w:r>
          <w:r>
            <w:rPr>
              <w:bCs/>
            </w:rPr>
            <w:fldChar w:fldCharType="end"/>
          </w:r>
        </w:p>
        <w:p>
          <w:pPr>
            <w:pStyle w:val="59"/>
            <w:tabs>
              <w:tab w:val="right" w:leader="dot" w:pos="8306"/>
            </w:tabs>
          </w:pPr>
          <w:r>
            <w:rPr>
              <w:bCs/>
            </w:rPr>
            <w:fldChar w:fldCharType="begin"/>
          </w:r>
          <w:r>
            <w:rPr>
              <w:bCs/>
            </w:rPr>
            <w:instrText xml:space="preserve"> HYPERLINK \l _Toc29161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_Toc154 </w:instrText>
          </w:r>
          <w:r>
            <w:rPr>
              <w:bCs/>
            </w:rPr>
            <w:fldChar w:fldCharType="separate"/>
          </w:r>
          <w:r>
            <w:rPr>
              <w:rFonts w:hint="eastAsia" w:ascii="Times New Roman" w:hAnsi="Times New Roman" w:eastAsia="楷体"/>
              <w:szCs w:val="24"/>
            </w:rPr>
            <w:t>贵金属：美国Markit制造业PMI略超预期，贵金属价格小幅下跌</w:t>
          </w:r>
          <w:r>
            <w:rPr>
              <w:bCs/>
            </w:rPr>
            <w:fldChar w:fldCharType="end"/>
          </w:r>
        </w:p>
        <w:p>
          <w:pPr>
            <w:pStyle w:val="59"/>
            <w:tabs>
              <w:tab w:val="right" w:leader="dot" w:pos="8306"/>
            </w:tabs>
          </w:pPr>
          <w:r>
            <w:rPr>
              <w:bCs/>
            </w:rPr>
            <w:fldChar w:fldCharType="begin"/>
          </w:r>
          <w:r>
            <w:rPr>
              <w:bCs/>
            </w:rPr>
            <w:instrText xml:space="preserve"> HYPERLINK \l _Toc18425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_Toc19123 </w:instrText>
          </w:r>
          <w:r>
            <w:rPr>
              <w:bCs/>
            </w:rPr>
            <w:fldChar w:fldCharType="separate"/>
          </w:r>
          <w:r>
            <w:rPr>
              <w:rFonts w:hint="eastAsia" w:ascii="楷体" w:hAnsi="楷体" w:eastAsia="楷体"/>
              <w:szCs w:val="24"/>
            </w:rPr>
            <w:t>碳酸锂：消息面扰动告一段落，期价横盘震荡</w:t>
          </w:r>
          <w:r>
            <w:rPr>
              <w:bCs/>
            </w:rPr>
            <w:fldChar w:fldCharType="end"/>
          </w:r>
        </w:p>
        <w:p>
          <w:pPr>
            <w:pStyle w:val="74"/>
            <w:tabs>
              <w:tab w:val="right" w:leader="dot" w:pos="8306"/>
            </w:tabs>
          </w:pPr>
          <w:r>
            <w:rPr>
              <w:bCs/>
            </w:rPr>
            <w:fldChar w:fldCharType="begin"/>
          </w:r>
          <w:r>
            <w:rPr>
              <w:bCs/>
            </w:rPr>
            <w:instrText xml:space="preserve"> HYPERLINK \l _Toc24178 </w:instrText>
          </w:r>
          <w:r>
            <w:rPr>
              <w:bCs/>
            </w:rPr>
            <w:fldChar w:fldCharType="separate"/>
          </w:r>
          <w:r>
            <w:rPr>
              <w:rFonts w:hint="eastAsia" w:ascii="楷体" w:hAnsi="楷体" w:eastAsia="楷体"/>
              <w:szCs w:val="24"/>
            </w:rPr>
            <w:t>铜：价格持稳运行</w:t>
          </w:r>
          <w:r>
            <w:rPr>
              <w:bCs/>
            </w:rPr>
            <w:fldChar w:fldCharType="end"/>
          </w:r>
        </w:p>
        <w:p>
          <w:pPr>
            <w:pStyle w:val="74"/>
            <w:tabs>
              <w:tab w:val="right" w:leader="dot" w:pos="8306"/>
            </w:tabs>
          </w:pPr>
          <w:r>
            <w:rPr>
              <w:bCs/>
            </w:rPr>
            <w:fldChar w:fldCharType="begin"/>
          </w:r>
          <w:r>
            <w:rPr>
              <w:bCs/>
            </w:rPr>
            <w:instrText xml:space="preserve"> HYPERLINK \l _Toc7201 </w:instrText>
          </w:r>
          <w:r>
            <w:rPr>
              <w:bCs/>
            </w:rPr>
            <w:fldChar w:fldCharType="separate"/>
          </w:r>
          <w:r>
            <w:rPr>
              <w:rFonts w:hint="eastAsia" w:ascii="楷体" w:hAnsi="楷体" w:eastAsia="楷体"/>
              <w:szCs w:val="24"/>
            </w:rPr>
            <w:t>铝：铝价区间震荡运行</w:t>
          </w:r>
          <w:r>
            <w:rPr>
              <w:bCs/>
            </w:rPr>
            <w:fldChar w:fldCharType="end"/>
          </w:r>
        </w:p>
        <w:p>
          <w:pPr>
            <w:pStyle w:val="74"/>
            <w:tabs>
              <w:tab w:val="right" w:leader="dot" w:pos="8306"/>
            </w:tabs>
          </w:pPr>
          <w:r>
            <w:rPr>
              <w:bCs/>
            </w:rPr>
            <w:fldChar w:fldCharType="begin"/>
          </w:r>
          <w:r>
            <w:rPr>
              <w:bCs/>
            </w:rPr>
            <w:instrText xml:space="preserve"> HYPERLINK \l _Toc21051 </w:instrText>
          </w:r>
          <w:r>
            <w:rPr>
              <w:bCs/>
            </w:rPr>
            <w:fldChar w:fldCharType="separate"/>
          </w:r>
          <w:r>
            <w:rPr>
              <w:rFonts w:hint="eastAsia" w:ascii="楷体" w:hAnsi="楷体" w:eastAsia="楷体"/>
              <w:szCs w:val="24"/>
            </w:rPr>
            <w:t>锌：下方空间有限，盘面价格反弹修复</w:t>
          </w:r>
          <w:r>
            <w:rPr>
              <w:bCs/>
            </w:rPr>
            <w:fldChar w:fldCharType="end"/>
          </w:r>
        </w:p>
        <w:p>
          <w:pPr>
            <w:pStyle w:val="74"/>
            <w:tabs>
              <w:tab w:val="right" w:leader="dot" w:pos="8306"/>
            </w:tabs>
          </w:pPr>
          <w:r>
            <w:rPr>
              <w:bCs/>
            </w:rPr>
            <w:fldChar w:fldCharType="begin"/>
          </w:r>
          <w:r>
            <w:rPr>
              <w:bCs/>
            </w:rPr>
            <w:instrText xml:space="preserve"> HYPERLINK \l _Toc5290 </w:instrText>
          </w:r>
          <w:r>
            <w:rPr>
              <w:bCs/>
            </w:rPr>
            <w:fldChar w:fldCharType="separate"/>
          </w:r>
          <w:r>
            <w:rPr>
              <w:rFonts w:hint="eastAsia" w:ascii="楷体" w:hAnsi="楷体" w:eastAsia="楷体"/>
              <w:szCs w:val="24"/>
            </w:rPr>
            <w:t>镍：供应担忧情绪与过剩格局交织，镍价反弹空间受限</w:t>
          </w:r>
          <w:r>
            <w:rPr>
              <w:bCs/>
            </w:rPr>
            <w:fldChar w:fldCharType="end"/>
          </w:r>
        </w:p>
        <w:p>
          <w:pPr>
            <w:pStyle w:val="74"/>
            <w:tabs>
              <w:tab w:val="right" w:leader="dot" w:pos="8306"/>
            </w:tabs>
          </w:pPr>
          <w:r>
            <w:rPr>
              <w:bCs/>
            </w:rPr>
            <w:fldChar w:fldCharType="begin"/>
          </w:r>
          <w:r>
            <w:rPr>
              <w:bCs/>
            </w:rPr>
            <w:instrText xml:space="preserve"> HYPERLINK \l _Toc18585 </w:instrText>
          </w:r>
          <w:r>
            <w:rPr>
              <w:bCs/>
            </w:rPr>
            <w:fldChar w:fldCharType="separate"/>
          </w:r>
          <w:r>
            <w:rPr>
              <w:rFonts w:hint="eastAsia" w:ascii="楷体" w:hAnsi="楷体" w:eastAsia="楷体"/>
              <w:szCs w:val="24"/>
            </w:rPr>
            <w:t>不锈钢：印尼镍矿RKAB审批缓慢叠加市场向好预期，预计短期价格偏强震荡</w:t>
          </w:r>
          <w:r>
            <w:rPr>
              <w:bCs/>
            </w:rPr>
            <w:fldChar w:fldCharType="end"/>
          </w:r>
        </w:p>
        <w:p>
          <w:pPr>
            <w:pStyle w:val="74"/>
            <w:tabs>
              <w:tab w:val="right" w:leader="dot" w:pos="8306"/>
            </w:tabs>
          </w:pPr>
          <w:r>
            <w:rPr>
              <w:bCs/>
            </w:rPr>
            <w:fldChar w:fldCharType="begin"/>
          </w:r>
          <w:r>
            <w:rPr>
              <w:bCs/>
            </w:rPr>
            <w:instrText xml:space="preserve"> HYPERLINK \l _Toc32453 </w:instrText>
          </w:r>
          <w:r>
            <w:rPr>
              <w:bCs/>
            </w:rPr>
            <w:fldChar w:fldCharType="separate"/>
          </w:r>
          <w:r>
            <w:rPr>
              <w:rFonts w:hint="eastAsia" w:ascii="楷体" w:hAnsi="楷体" w:eastAsia="楷体"/>
              <w:szCs w:val="24"/>
            </w:rPr>
            <w:t>工业硅：节后补库或逐步恢复，预计下跌空间有限</w:t>
          </w:r>
          <w:r>
            <w:rPr>
              <w:bCs/>
            </w:rPr>
            <w:fldChar w:fldCharType="end"/>
          </w:r>
        </w:p>
        <w:p>
          <w:pPr>
            <w:pStyle w:val="59"/>
            <w:tabs>
              <w:tab w:val="right" w:leader="dot" w:pos="8306"/>
            </w:tabs>
          </w:pPr>
          <w:r>
            <w:rPr>
              <w:bCs/>
            </w:rPr>
            <w:fldChar w:fldCharType="begin"/>
          </w:r>
          <w:r>
            <w:rPr>
              <w:bCs/>
            </w:rPr>
            <w:instrText xml:space="preserve"> HYPERLINK \l _Toc23367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_Toc10717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节后轮胎厂返工与天胶库存上升并存 胶价上行空间存疑</w:t>
          </w:r>
          <w:r>
            <w:rPr>
              <w:bCs/>
            </w:rPr>
            <w:fldChar w:fldCharType="end"/>
          </w:r>
        </w:p>
        <w:p>
          <w:pPr>
            <w:pStyle w:val="74"/>
            <w:tabs>
              <w:tab w:val="right" w:leader="dot" w:pos="8306"/>
            </w:tabs>
          </w:pPr>
          <w:r>
            <w:rPr>
              <w:bCs/>
            </w:rPr>
            <w:fldChar w:fldCharType="begin"/>
          </w:r>
          <w:r>
            <w:rPr>
              <w:bCs/>
            </w:rPr>
            <w:instrText xml:space="preserve"> HYPERLINK \l _Toc11831 </w:instrText>
          </w:r>
          <w:r>
            <w:rPr>
              <w:bCs/>
            </w:rPr>
            <w:fldChar w:fldCharType="separate"/>
          </w:r>
          <w:r>
            <w:rPr>
              <w:rFonts w:hint="eastAsia" w:ascii="楷体" w:hAnsi="楷体" w:eastAsia="楷体"/>
              <w:szCs w:val="24"/>
            </w:rPr>
            <w:t>聚烯烃：市场多空因素交织，聚烯烃或震荡表现为主</w:t>
          </w:r>
          <w:r>
            <w:rPr>
              <w:bCs/>
            </w:rPr>
            <w:fldChar w:fldCharType="end"/>
          </w:r>
        </w:p>
        <w:p>
          <w:pPr>
            <w:pStyle w:val="74"/>
            <w:tabs>
              <w:tab w:val="right" w:leader="dot" w:pos="8306"/>
            </w:tabs>
          </w:pPr>
          <w:r>
            <w:rPr>
              <w:bCs/>
            </w:rPr>
            <w:fldChar w:fldCharType="begin"/>
          </w:r>
          <w:r>
            <w:rPr>
              <w:bCs/>
            </w:rPr>
            <w:instrText xml:space="preserve"> HYPERLINK \l _Toc15240 </w:instrText>
          </w:r>
          <w:r>
            <w:rPr>
              <w:bCs/>
            </w:rPr>
            <w:fldChar w:fldCharType="separate"/>
          </w:r>
          <w:r>
            <w:rPr>
              <w:rFonts w:hint="eastAsia" w:ascii="楷体" w:hAnsi="楷体" w:eastAsia="楷体"/>
              <w:szCs w:val="24"/>
            </w:rPr>
            <w:t>乙二醇：供需格局尚可 乙二醇仍偏多配</w:t>
          </w:r>
          <w:r>
            <w:rPr>
              <w:bCs/>
            </w:rPr>
            <w:fldChar w:fldCharType="end"/>
          </w:r>
        </w:p>
        <w:p>
          <w:pPr>
            <w:pStyle w:val="74"/>
            <w:tabs>
              <w:tab w:val="right" w:leader="dot" w:pos="8306"/>
            </w:tabs>
          </w:pPr>
          <w:r>
            <w:rPr>
              <w:bCs/>
            </w:rPr>
            <w:fldChar w:fldCharType="begin"/>
          </w:r>
          <w:r>
            <w:rPr>
              <w:bCs/>
            </w:rPr>
            <w:instrText xml:space="preserve"> HYPERLINK \l _Toc17512 </w:instrText>
          </w:r>
          <w:r>
            <w:rPr>
              <w:bCs/>
            </w:rPr>
            <w:fldChar w:fldCharType="separate"/>
          </w:r>
          <w:r>
            <w:rPr>
              <w:rFonts w:hint="eastAsia" w:ascii="楷体" w:hAnsi="楷体" w:eastAsia="楷体"/>
              <w:szCs w:val="24"/>
            </w:rPr>
            <w:t>PTA：成本提振期价偏强</w:t>
          </w:r>
          <w:r>
            <w:rPr>
              <w:bCs/>
            </w:rPr>
            <w:fldChar w:fldCharType="end"/>
          </w:r>
        </w:p>
        <w:p>
          <w:pPr>
            <w:pStyle w:val="74"/>
            <w:tabs>
              <w:tab w:val="right" w:leader="dot" w:pos="8306"/>
            </w:tabs>
          </w:pPr>
          <w:r>
            <w:rPr>
              <w:bCs/>
            </w:rPr>
            <w:fldChar w:fldCharType="begin"/>
          </w:r>
          <w:r>
            <w:rPr>
              <w:bCs/>
            </w:rPr>
            <w:instrText xml:space="preserve"> HYPERLINK \l _Toc22400 </w:instrText>
          </w:r>
          <w:r>
            <w:rPr>
              <w:bCs/>
            </w:rPr>
            <w:fldChar w:fldCharType="separate"/>
          </w:r>
          <w:r>
            <w:rPr>
              <w:rFonts w:hint="eastAsia" w:ascii="楷体" w:hAnsi="楷体" w:eastAsia="楷体"/>
              <w:szCs w:val="24"/>
            </w:rPr>
            <w:t>玻璃：累库幅度低于预期，支撑线附近震荡</w:t>
          </w:r>
          <w:r>
            <w:rPr>
              <w:bCs/>
            </w:rPr>
            <w:fldChar w:fldCharType="end"/>
          </w:r>
        </w:p>
        <w:p>
          <w:pPr>
            <w:pStyle w:val="74"/>
            <w:tabs>
              <w:tab w:val="right" w:leader="dot" w:pos="8306"/>
            </w:tabs>
          </w:pPr>
          <w:r>
            <w:rPr>
              <w:bCs/>
            </w:rPr>
            <w:fldChar w:fldCharType="begin"/>
          </w:r>
          <w:r>
            <w:rPr>
              <w:bCs/>
            </w:rPr>
            <w:instrText xml:space="preserve"> HYPERLINK \l _Toc5246 </w:instrText>
          </w:r>
          <w:r>
            <w:rPr>
              <w:bCs/>
            </w:rPr>
            <w:fldChar w:fldCharType="separate"/>
          </w:r>
          <w:r>
            <w:rPr>
              <w:rFonts w:hint="eastAsia" w:ascii="楷体" w:hAnsi="楷体" w:eastAsia="楷体"/>
              <w:szCs w:val="24"/>
            </w:rPr>
            <w:t>纯碱：成本线附近跌幅趋缓，反弹略显乏力</w:t>
          </w:r>
          <w:r>
            <w:rPr>
              <w:bCs/>
            </w:rPr>
            <w:fldChar w:fldCharType="end"/>
          </w:r>
        </w:p>
        <w:p>
          <w:pPr>
            <w:pStyle w:val="59"/>
            <w:tabs>
              <w:tab w:val="right" w:leader="dot" w:pos="8306"/>
            </w:tabs>
          </w:pPr>
          <w:r>
            <w:rPr>
              <w:bCs/>
            </w:rPr>
            <w:fldChar w:fldCharType="begin"/>
          </w:r>
          <w:r>
            <w:rPr>
              <w:bCs/>
            </w:rPr>
            <w:instrText xml:space="preserve"> HYPERLINK \l _Toc15462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_Toc8952 </w:instrText>
          </w:r>
          <w:r>
            <w:rPr>
              <w:bCs/>
            </w:rPr>
            <w:fldChar w:fldCharType="separate"/>
          </w:r>
          <w:r>
            <w:rPr>
              <w:rFonts w:hint="eastAsia" w:ascii="楷体" w:hAnsi="楷体" w:eastAsia="楷体"/>
              <w:bCs/>
            </w:rPr>
            <w:t>玉米与淀粉：</w:t>
          </w:r>
          <w:r>
            <w:rPr>
              <w:rFonts w:hint="eastAsia" w:ascii="楷体" w:hAnsi="楷体" w:eastAsia="楷体"/>
            </w:rPr>
            <w:t>涨势中淀粉相对弱势</w:t>
          </w:r>
          <w:r>
            <w:rPr>
              <w:bCs/>
            </w:rPr>
            <w:fldChar w:fldCharType="end"/>
          </w:r>
        </w:p>
        <w:p>
          <w:pPr>
            <w:pStyle w:val="74"/>
            <w:tabs>
              <w:tab w:val="right" w:leader="dot" w:pos="8306"/>
            </w:tabs>
          </w:pPr>
          <w:r>
            <w:rPr>
              <w:bCs/>
            </w:rPr>
            <w:fldChar w:fldCharType="begin"/>
          </w:r>
          <w:r>
            <w:rPr>
              <w:bCs/>
            </w:rPr>
            <w:instrText xml:space="preserve"> HYPERLINK \l _Toc9108 </w:instrText>
          </w:r>
          <w:r>
            <w:rPr>
              <w:bCs/>
            </w:rPr>
            <w:fldChar w:fldCharType="separate"/>
          </w:r>
          <w:r>
            <w:rPr>
              <w:rFonts w:hint="eastAsia" w:ascii="楷体" w:hAnsi="楷体" w:eastAsia="楷体"/>
              <w:bCs/>
            </w:rPr>
            <w:t>畜禽养殖：饲料原料带动畜禽期价反弹</w:t>
          </w:r>
          <w:r>
            <w:rPr>
              <w:bCs/>
            </w:rPr>
            <w:fldChar w:fldCharType="end"/>
          </w:r>
        </w:p>
        <w:p>
          <w:pPr>
            <w:pStyle w:val="59"/>
            <w:tabs>
              <w:tab w:val="right" w:leader="dot" w:pos="8306"/>
            </w:tabs>
          </w:pPr>
          <w:r>
            <w:rPr>
              <w:bCs/>
            </w:rPr>
            <w:fldChar w:fldCharType="begin"/>
          </w:r>
          <w:r>
            <w:rPr>
              <w:bCs/>
            </w:rPr>
            <w:instrText xml:space="preserve"> HYPERLINK \l _Toc22329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_Toc25738 </w:instrText>
          </w:r>
          <w:r>
            <w:rPr>
              <w:bCs/>
            </w:rPr>
            <w:fldChar w:fldCharType="separate"/>
          </w:r>
          <w:r>
            <w:rPr>
              <w:rFonts w:hint="eastAsia" w:ascii="Times New Roman" w:hAnsi="Times New Roman" w:eastAsia="楷体"/>
              <w:szCs w:val="24"/>
            </w:rPr>
            <w:t>集运指数（欧线）：红海船舶持续受袭，绕行比例持续上升，期价维持弱势</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20776"/>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25082"/>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多单逢高止盈</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A股延续反弹，上证指数豪取7连阳，创三年半以来最长连涨纪录，但由于缺乏可持续的预期改善动力，预计市场的反弹不会一蹴而就，指数经过连续反弹，短期基本到达重要技术压力位，后续指数或仍需震荡磨底，沪指3000点关口也仍存在震荡整固需求，可注意把握其中结构性机会。此外，临近重要会议，市场对政策端的关注度或进一步抬升，建议后续密切关注政策和产业的积极变化。</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9161"/>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54"/>
      <w:r>
        <w:rPr>
          <w:rFonts w:hint="eastAsia" w:ascii="Times New Roman" w:hAnsi="Times New Roman" w:eastAsia="楷体"/>
          <w:b/>
          <w:color w:val="000000" w:themeColor="text1"/>
          <w:sz w:val="24"/>
          <w:szCs w:val="24"/>
          <w14:textFill>
            <w14:solidFill>
              <w14:schemeClr w14:val="tx1"/>
            </w14:solidFill>
          </w14:textFill>
        </w:rPr>
        <w:t>贵金属：美国Markit制造业PMI略超预期，贵金属价格小幅下跌</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元指数横盘运行，暂报103.92；沪金跌0.21%，沪银跌0.47%。美国2月Markit制造业PMI初值为51.5，预期50.5，前值50.7；服务业PMI初值为51.3，预期52，前值52.5；综合PMI初值51.4，预期51.8，前值52。美联储副主席杰斐逊表示，今年晚些时候降息可能是适当的，需要经济中的“大量证据”来支持降息；随着劳动力市场的降温，预计核心服务通胀将继续趋缓。美联储哈克表示，暂无降息的急迫性，下半年可能出现降息时机；未来美联储行动将由数据驱动。美联储纪要提示近期启动降息概率较低，降息预期后置，贵金属价格或维持区间震荡，建议暂以观望为主。</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20891"/>
      <w:bookmarkStart w:id="12" w:name="_Toc3096"/>
      <w:bookmarkStart w:id="13" w:name="_Toc18425"/>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9123"/>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碳酸锂：消息面扰动告一段落，期价横盘震荡</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碳酸锂期价横盘震荡，07合约收涨0.10%至97650元/吨。据期货日报报道，21日盘中传闻“涉锂渣企业停产”消息不属实，项目环保检查不会引发大规模与长期的冶炼厂停产。消息面因素扰动告一段落，由于下游成品库存仍处相对高位，补库需求或不及预期，留意后续环保督察推动进度及其对供应端可能的影响，期价或维持区间震荡。</w:t>
      </w:r>
    </w:p>
    <w:bookmarkEnd w:id="16"/>
    <w:bookmarkEnd w:id="17"/>
    <w:p>
      <w:pPr>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25617"/>
      <w:bookmarkStart w:id="19" w:name="_Toc9719"/>
      <w:bookmarkStart w:id="20" w:name="_Toc24178"/>
      <w:r>
        <w:rPr>
          <w:rFonts w:hint="eastAsia" w:ascii="楷体" w:hAnsi="楷体" w:eastAsia="楷体"/>
          <w:b/>
          <w:color w:val="000000" w:themeColor="text1"/>
          <w:sz w:val="24"/>
          <w:szCs w:val="24"/>
          <w14:textFill>
            <w14:solidFill>
              <w14:schemeClr w14:val="tx1"/>
            </w14:solidFill>
          </w14:textFill>
        </w:rPr>
        <w:t>铜：</w:t>
      </w:r>
      <w:bookmarkEnd w:id="18"/>
      <w:bookmarkEnd w:id="19"/>
      <w:r>
        <w:rPr>
          <w:rFonts w:hint="eastAsia" w:ascii="楷体" w:hAnsi="楷体" w:eastAsia="楷体"/>
          <w:b/>
          <w:color w:val="000000" w:themeColor="text1"/>
          <w:sz w:val="24"/>
          <w:szCs w:val="24"/>
          <w14:textFill>
            <w14:solidFill>
              <w14:schemeClr w14:val="tx1"/>
            </w14:solidFill>
          </w14:textFill>
        </w:rPr>
        <w:t>价格持稳运行</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(1)产业：国际铜业研究小组(ICSG)在最新发布的月报中称，2023年12月全球精炼铜市场供应过剩2.0万吨，11月短缺为12.30万吨。报告称，2023年1-12月全球精炼铜市场供应短缺8.7万吨，而2022年为供应短缺43.4万吨。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(2)库存：2月21日，SHFE仓单库存118751吨，减768吨；LME仓单库存124075吨，减1850吨。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(3)精废价差：2月21日，Mysteel精废价差1722，扩张186。目前价差在合理价差1388之上。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美联储1月会议记录基本符合预期，会议记录显示大部分决策者担心过早降息的风险。然而，零售销售数据和其他数据也显示出一些疲软迹象，近期美元指数下调后对铜价压制有所缓解，但海外降息预期仍存在反复可能性，美元指数短期或难有趋势性行情。基本面，节后库存继续累增，现货升水被压制，短期市场交易或侧重宏观政策偏多带来的需求预期，价格上涨后相对持稳运行，波动区间参考68000-69500元/吨。</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8897"/>
      <w:bookmarkStart w:id="22" w:name="_Toc6247"/>
      <w:bookmarkStart w:id="23" w:name="_Toc7201"/>
      <w:r>
        <w:rPr>
          <w:rFonts w:hint="eastAsia" w:ascii="楷体" w:hAnsi="楷体" w:eastAsia="楷体"/>
          <w:b/>
          <w:color w:val="000000" w:themeColor="text1"/>
          <w:sz w:val="24"/>
          <w:szCs w:val="24"/>
          <w14:textFill>
            <w14:solidFill>
              <w14:schemeClr w14:val="tx1"/>
            </w14:solidFill>
          </w14:textFill>
        </w:rPr>
        <w:t>铝：</w:t>
      </w:r>
      <w:bookmarkEnd w:id="21"/>
      <w:bookmarkEnd w:id="22"/>
      <w:r>
        <w:rPr>
          <w:rFonts w:hint="eastAsia" w:ascii="楷体" w:hAnsi="楷体" w:eastAsia="楷体"/>
          <w:b/>
          <w:color w:val="000000" w:themeColor="text1"/>
          <w:sz w:val="24"/>
          <w:szCs w:val="24"/>
          <w14:textFill>
            <w14:solidFill>
              <w14:schemeClr w14:val="tx1"/>
            </w14:solidFill>
          </w14:textFill>
        </w:rPr>
        <w:t>铝价区间震荡运行</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宏观仍在交易联储降息预期，美国经济数据表现韧性，降息预期走弱，国内政策面积极信号持续释放，央行降息展现决心，金融市场环境维持宽松。基本面上看，春节期间供应生产维持，节后铝棒+铝锭+厂内库存恢复到去年同期附近水平，逐步要进入消费旺季，目前是消费验证真空时期，在需求边际转好的预期之下，铝价在18600-19300震荡区间内运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21051"/>
      <w:r>
        <w:rPr>
          <w:rFonts w:hint="eastAsia" w:ascii="楷体" w:hAnsi="楷体" w:eastAsia="楷体"/>
          <w:b/>
          <w:color w:val="000000" w:themeColor="text1"/>
          <w:sz w:val="24"/>
          <w:szCs w:val="24"/>
          <w14:textFill>
            <w14:solidFill>
              <w14:schemeClr w14:val="tx1"/>
            </w14:solidFill>
          </w14:textFill>
        </w:rPr>
        <w:t>锌：下方空间有限，盘面价格反弹修复</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维持内强外弱，基本面上看，矿端供应依旧偏紧，国内矿产下滑，加工费走弱表明上游市场供应紧缺，原料趋紧叠加中游冶炼利润为负的影响导致冶炼企业生产积极性下降，部门厂家在节前提早放假，2月炼锌供应预计环比减少，消费端逐步要进入旺季，下游企业多计划逐步复工，有需求走好预期及成本支撑锌市下方价格。</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5290"/>
      <w:r>
        <w:rPr>
          <w:rFonts w:hint="eastAsia" w:ascii="楷体" w:hAnsi="楷体" w:eastAsia="楷体"/>
          <w:b/>
          <w:color w:val="000000" w:themeColor="text1"/>
          <w:sz w:val="24"/>
          <w:szCs w:val="24"/>
          <w14:textFill>
            <w14:solidFill>
              <w14:schemeClr w14:val="tx1"/>
            </w14:solidFill>
          </w14:textFill>
        </w:rPr>
        <w:t>镍：供应担忧情绪与过剩格局交织，镍价反弹空间受限</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近日镍价震荡偏强的原因主要在于以下几个方面：一、美元指数连续下挫，加上国内贷款市场报价利率（LPR）下调，宏观情绪偏多对镍带来一定提振；二、印尼2024年镍矿RKAB审批缓慢，Mysteel预计目前至少有250家以上的矿点未通过审批，一些小型镍铁企业镍矿库存偏紧，镍铁价格偏强运行；三、美国计划对俄罗斯实行重大制裁，引发市场对俄镍供应担忧情绪。然而，镍中长期仍然处于供应过剩格局，给镍价提供持续性压制，镍价反弹空间有限，操作上建议逢高沽空。</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18585"/>
      <w:r>
        <w:rPr>
          <w:rFonts w:hint="eastAsia" w:ascii="楷体" w:hAnsi="楷体" w:eastAsia="楷体"/>
          <w:b/>
          <w:color w:val="000000" w:themeColor="text1"/>
          <w:sz w:val="24"/>
          <w:szCs w:val="24"/>
          <w14:textFill>
            <w14:solidFill>
              <w14:schemeClr w14:val="tx1"/>
            </w14:solidFill>
          </w14:textFill>
        </w:rPr>
        <w:t>不锈钢：印尼镍矿RKAB审批缓慢叠加市场向好预期，预计短期价格偏强震荡</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从宏观来看，国内最新5年期以上贷款市场报价利率LPR下调25个基点至3.95%，提振市场情绪。从原料来看，印尼2024年镍矿RKAB审批缓慢，Mysteel预计目前至少有250家以上的矿点未通过审批，一些小型镍铁企业镍矿库存偏紧，镍铁价格偏强运行，或等3月印尼总统选票结果正式公布后，该RKAB审批才能加快推进。从供需来看，由于利润空间尚可，2月不锈钢减产力度或不及预期，目前下游企业暂未全面复工，现货成交氛围偏淡，但在国内宏观利好政策推动下，市场对节后需求抱有向好预期。从库存来看，由于本周不锈钢到货不多，下游阶段性补库，社会库存小幅去库，据Mysteel数据，2月22日全国主流市场不锈钢89仓库周环比减0.31%。综合而言，在印尼镍矿RKAB审批缓慢，镍铁价格偏强运行，市场存在需求向好预期，社库未出现累库这些因素支撑下，预计短期不锈钢价格偏强震荡运行，需关注后续实际需求兑现情况。</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32453"/>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节后补库或逐步恢复，预计下跌空间有限</w:t>
      </w:r>
      <w:bookmarkEnd w:id="27"/>
    </w:p>
    <w:p>
      <w:pPr>
        <w:ind w:left="630" w:leftChars="300"/>
        <w:rPr>
          <w:rFonts w:ascii="楷体" w:hAnsi="楷体" w:eastAsia="楷体"/>
          <w:sz w:val="24"/>
          <w:szCs w:val="24"/>
        </w:rPr>
      </w:pPr>
      <w:r>
        <w:rPr>
          <w:rFonts w:hint="eastAsia" w:ascii="楷体" w:hAnsi="楷体" w:eastAsia="楷体"/>
          <w:sz w:val="24"/>
          <w:szCs w:val="24"/>
        </w:rPr>
        <w:t>2月22日，Si2404主力合约呈震荡走势，收盘价13360元/吨，较上一收盘价涨跌幅-0.26%。目前市场整体交投偏淡，下游终端采购积极性较低，贸易商观望情绪较浓。但据SMM调研了解，下游磨粉企业在初七左右相继复产，多晶硅、有机硅单体企业春节期间照常生产，铝合金企业也正陆续恢复生产。整体来看，下游企业正陆续恢复生产，春节后补库有望逐步恢复，或对市场存在支撑，预计进一步下跌空间有限。策略上，可尝试逢低做多。</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8" w:name="化工"/>
      <w:r>
        <w:rPr>
          <w:rFonts w:hint="eastAsia" w:ascii="Times New Roman" w:hAnsi="Times New Roman" w:eastAsia="楷体"/>
          <w:b/>
          <w:color w:val="823C0B"/>
          <w:sz w:val="30"/>
          <w:szCs w:val="30"/>
        </w:rPr>
        <w:t xml:space="preserve"> </w:t>
      </w:r>
      <w:bookmarkStart w:id="29" w:name="_Toc23367"/>
      <w:r>
        <w:rPr>
          <w:rFonts w:hint="eastAsia" w:ascii="Times New Roman" w:hAnsi="Times New Roman" w:eastAsia="楷体"/>
          <w:b/>
          <w:color w:val="823C0B"/>
          <w:sz w:val="30"/>
          <w:szCs w:val="30"/>
        </w:rPr>
        <w:t>[化工]</w:t>
      </w:r>
      <w:bookmarkEnd w:id="28"/>
      <w:bookmarkEnd w:id="29"/>
    </w:p>
    <w:p>
      <w:pPr>
        <w:ind w:firstLine="482" w:firstLineChars="200"/>
        <w:outlineLvl w:val="1"/>
        <w:rPr>
          <w:rFonts w:ascii="楷体" w:hAnsi="楷体" w:eastAsia="楷体"/>
          <w:b/>
          <w:sz w:val="24"/>
          <w:szCs w:val="24"/>
        </w:rPr>
      </w:pPr>
      <w:bookmarkStart w:id="30" w:name="_Toc10717"/>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节后轮胎厂返工与天胶库存上升并存 胶价上行空间存疑</w:t>
      </w:r>
      <w:bookmarkEnd w:id="30"/>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供应方面，泰国供应处于季节性收缩时期，原料价格易涨难跌，标胶到港量下降预期偏强。库存方面，国内社会库存回升，青岛深色胶即将呈现累库拐点，浅色库存同比去年上升。需求端来看，节后返工叠加国内需求的全面复苏，下游工厂陆续复工复产，开工率将恢复性提升。整体看，春节后随着复工复产，天然橡胶需求端提振预期偏强，天胶库存或处于去库周期，但偏高的库存依旧制约盘面上行幅度。</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11831"/>
      <w:r>
        <w:rPr>
          <w:rFonts w:hint="eastAsia" w:ascii="楷体" w:hAnsi="楷体" w:eastAsia="楷体"/>
          <w:b/>
          <w:color w:val="000000" w:themeColor="text1"/>
          <w:sz w:val="24"/>
          <w:szCs w:val="24"/>
          <w14:textFill>
            <w14:solidFill>
              <w14:schemeClr w14:val="tx1"/>
            </w14:solidFill>
          </w14:textFill>
        </w:rPr>
        <w:t>聚烯烃：市场多空因素交织，聚烯烃或震荡表现为主</w:t>
      </w:r>
      <w:bookmarkEnd w:id="31"/>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目前聚烯烃上游石化库存为99万吨，较春节前累库41.5万吨，与去年同期相比增幅较大，库存压力较大。聚烯烃自身开工负荷变动不大，但下游进入集中停工期，春节期间开工率大幅走低，需求降至年内冰点。进口方面，LL进口窗口打开，PP进口窗口关闭。聚烯烃基本面变动不大，建议逢高空PP性价比更高。</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2" w:name="_Toc15240"/>
      <w:r>
        <w:rPr>
          <w:rFonts w:hint="eastAsia" w:ascii="楷体" w:hAnsi="楷体" w:eastAsia="楷体"/>
          <w:b/>
          <w:color w:val="000000" w:themeColor="text1"/>
          <w:sz w:val="24"/>
          <w:szCs w:val="24"/>
          <w14:textFill>
            <w14:solidFill>
              <w14:schemeClr w14:val="tx1"/>
            </w14:solidFill>
          </w14:textFill>
        </w:rPr>
        <w:t>乙二醇：供需格局尚可 乙二醇仍偏多配</w:t>
      </w:r>
      <w:bookmarkEnd w:id="32"/>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供需情况，2.18华东主港地区MEG港口库存约80万吨附近，环比-2.1万吨，春节期间港口库存未出现累库。截至2月18日，中国大陆地区乙二醇整体开工负荷在68.19%，其中草酸催化加氢法（合成气）制乙二醇开工负荷在59.14%。截至2月18日，国内大陆地区聚酯负荷在81%，后续负荷将陆续提升。终端来看，江浙终端开工率下降加速。截止2.18 江浙下游加弹、织造、印染负荷分别在14%、11%、6%。综合来看，期价大幅走高带动乙二醇利润快速修复，国内不少乙烯制乙二醇装置供应回归。节期日期间，伊朗天然气装置受损成本端提振及乙二醇春节尚未累库，供需格局尚可，短期仍偏多配，仅供参考。</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3" w:name="_Toc17512"/>
      <w:r>
        <w:rPr>
          <w:rFonts w:hint="eastAsia" w:ascii="楷体" w:hAnsi="楷体" w:eastAsia="楷体"/>
          <w:b/>
          <w:color w:val="000000" w:themeColor="text1"/>
          <w:sz w:val="24"/>
          <w:szCs w:val="24"/>
          <w14:textFill>
            <w14:solidFill>
              <w14:schemeClr w14:val="tx1"/>
            </w14:solidFill>
          </w14:textFill>
        </w:rPr>
        <w:t>PTA：成本提振期价偏强</w:t>
      </w:r>
      <w:bookmarkEnd w:id="33"/>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成本端原油受地缘局势及宏观提振，短线基调偏强。PTA方面，春节假期PTA装置基本上没有变动，能投100万吨PTA装置负荷提升至9成偏上，其他个别装置负荷小幅调整，目前PTA装置负荷调整至81.7%。年后聚酯检修装置部分已经开启，但仍有较多尚处于升温或准备过程中，综合来看，截至2月18日国内大陆地区聚酯负荷略升至80.1%附近，后续负荷将陆续提升。后续来看，PTA部分装置公布后期检修计划后，3月累库幅度缩减。近期PTA加工费小幅压缩及下游聚酯工厂开工缓慢提升，库存或转移至聚酯工厂。短期受成本端提振期价偏强震荡。仅供参考。</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4" w:name="_Toc22400"/>
      <w:r>
        <w:rPr>
          <w:rFonts w:hint="eastAsia" w:ascii="楷体" w:hAnsi="楷体" w:eastAsia="楷体"/>
          <w:b/>
          <w:color w:val="000000" w:themeColor="text1"/>
          <w:sz w:val="24"/>
          <w:szCs w:val="24"/>
          <w14:textFill>
            <w14:solidFill>
              <w14:schemeClr w14:val="tx1"/>
            </w14:solidFill>
          </w14:textFill>
        </w:rPr>
        <w:t>玻璃：累库幅度低于预期，支撑线附近震荡</w:t>
      </w:r>
      <w:bookmarkEnd w:id="3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2月22日报道：今日浮法玻璃现货价格2036元/吨，较上一交易日+2元/吨。供给上，全国浮法玻璃日产量为17.23万吨，威海四线500吨复产点火，复产产线尚在提量当中。库存上，截止到20240222，全国浮法玻璃样本企业总库存5425.5万重箱，环比+211.5万重箱，环比+4.06%，累库幅度低于预期。从供需来看，供给端日熔量仍处于近三年高位，后市在利润较好的情况下，还有复产产线点火，前期已复产产线尚在提量当中。需求端春节后下游多家深加工厂复工较晚，有补库需求但对价格敏感。年后地产竣工高峰期结束，高回款压力下，下游对年内需求预期较为悲观，开工后虽有补库但备货较为谨慎。在需求未完全启动之前，期价大幅贴水，短期在144日支撑线附近弱势震荡。</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5" w:name="_Toc5246"/>
      <w:r>
        <w:rPr>
          <w:rFonts w:hint="eastAsia" w:ascii="楷体" w:hAnsi="楷体" w:eastAsia="楷体"/>
          <w:b/>
          <w:color w:val="000000" w:themeColor="text1"/>
          <w:sz w:val="24"/>
          <w:szCs w:val="24"/>
          <w14:textFill>
            <w14:solidFill>
              <w14:schemeClr w14:val="tx1"/>
            </w14:solidFill>
          </w14:textFill>
        </w:rPr>
        <w:t>纯碱：成本线附近跌幅趋缓，反弹略显乏力</w:t>
      </w:r>
      <w:bookmarkEnd w:id="35"/>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纯碱现货端价格下跌，河南、山东地区重碱价格2100元/吨附近，较周初下跌100元/吨，成交较差。从供给端来看，随着远兴4线的投料和前三条产线的满产，以及各区域复工检修较少，截止到2024年2月22日，周内纯碱产量71.83万吨，环比增加1.27万吨，涨幅1.79%。从库存上看，本周国内纯碱厂家总库存74.85万吨，环比增加6.02万吨，增幅8.75%，下游厂家复工较晚，对高价碱抵制心理较强，周内延续累库。目前碱厂待发订单较差，玻璃厂纯碱库存接近月底，且月底还有多家进口碱到港。盘面中期累库趋势未改，期价下行到氨碱法成本线附近暂时趋稳，但反弹略显乏力，进入弱势震荡行情。</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6" w:name="_Toc15462"/>
      <w:r>
        <w:rPr>
          <w:rFonts w:hint="eastAsia" w:ascii="Times New Roman" w:hAnsi="Times New Roman" w:eastAsia="楷体"/>
          <w:b/>
          <w:color w:val="823C0B"/>
          <w:sz w:val="30"/>
          <w:szCs w:val="30"/>
        </w:rPr>
        <w:t>[农产品]</w:t>
      </w:r>
      <w:bookmarkEnd w:id="14"/>
      <w:bookmarkEnd w:id="36"/>
    </w:p>
    <w:p>
      <w:pPr>
        <w:pStyle w:val="93"/>
        <w:spacing w:before="60" w:beforeAutospacing="0" w:after="60" w:afterAutospacing="0"/>
        <w:ind w:left="420" w:leftChars="200"/>
        <w:outlineLvl w:val="1"/>
        <w:rPr>
          <w:rFonts w:ascii="楷体" w:hAnsi="楷体" w:eastAsia="楷体"/>
          <w:b/>
        </w:rPr>
      </w:pPr>
      <w:bookmarkStart w:id="37" w:name="_Toc8952"/>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涨势中淀粉相对弱势</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遵循前期市场逻辑，节后进入余粮压力验证期，当前不利因素有二，其一是春节长假期间外盘玉米期价和升贴水持续下滑，带动进口成本下降；其二是国内产区气温回升，地趴粮压力凸显，带动产区局部地区现货下跌。在这种情况下，需要中下游补库/建库来化解产区余粮压力，考虑到期价特别是远月升水，建议重点关注产区现货价格。我们维持谨慎看多观点，建议投资者持有前期多单，如无前期多单则可考虑择机入场做多。</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淀粉而言，节前淀粉-玉米价差变动不大，主要源于副产品、现货基差和行业供需三个方面的支撑，节后变数在于原料成本和行业供需两个方面，前者在于余粮压力能否被中下游补库/建库加以化解，后者则在于现货加工高利润之下，春节长假期间开机率有望带动淀粉行业库存累积。</w:t>
      </w:r>
    </w:p>
    <w:p>
      <w:pPr>
        <w:pStyle w:val="93"/>
        <w:spacing w:before="0" w:beforeAutospacing="0" w:after="60" w:afterAutospacing="0"/>
        <w:ind w:left="630" w:leftChars="300"/>
        <w:rPr>
          <w:rFonts w:ascii="楷体" w:hAnsi="楷体" w:eastAsia="楷体"/>
        </w:rPr>
      </w:pPr>
      <w:r>
        <w:rPr>
          <w:rFonts w:hint="eastAsia" w:ascii="楷体" w:hAnsi="楷体" w:eastAsia="楷体"/>
        </w:rPr>
        <w:t>综上所述，我们持谨慎看多观点，建议节前多单可以考虑继续持有，套利方面则暂以观望为宜，等待淀粉-玉米价差收窄机会。</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8" w:name="_Toc9108"/>
      <w:r>
        <w:rPr>
          <w:rFonts w:hint="eastAsia" w:ascii="楷体" w:hAnsi="楷体" w:eastAsia="楷体"/>
          <w:b/>
          <w:bCs/>
          <w:color w:val="000000" w:themeColor="text1"/>
          <w14:textFill>
            <w14:solidFill>
              <w14:schemeClr w14:val="tx1"/>
            </w14:solidFill>
          </w14:textFill>
        </w:rPr>
        <w:t>畜禽养殖：饲料原料带动畜禽期价反弹</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在前期报告中我们指出，分合约来看，远月合约更多关注接下来的产能去化进度，需要特别留意产能去化不及预期的可能性；对于近月合约而言，与去年同期相比，供需总体改善，但已经体现在生猪养殖亏损幅度同比上，而养殖成本下滑，供需利多而成本偏空，或抑制猪价波动区间。节前期现持续背离带动基差持续走强，或主要源于两个方面的原因，其一是原料成本端特别是蛋白粕持续下跌，其二是市场担心春节后季节性淡季生猪价格的表现。考虑到春节长假期间外盘大豆与玉米期价持续下行，而节后生猪现货已出现冲高回落，在这种情况下，市场预期或需要等待季节性低点出现之后才会有所改观。因此我们维持中性观点，建议投资者继续观望为宜，等待现货止跌后再行入场。</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分析市场可以看出，节前期现货表现符合我们之前报告预期，主要源于两个方面，其一是饲料原料成本的下滑，其二也是根本原因则在于供应端的增长，卓创资讯数据显示，在产蛋鸡存栏连续环比增加，考虑到今年节后以来蛋鸡苗销量均同比增加，而蛋鸡淘汰量持续处于历史低位水平，蛋鸡淘汰日龄则持续位于历史同期高位。接下来中期需要留意两个方面，其一是饲料原料成本的变化；其二是养殖户补栏和淘汰积极性的变化，随着鸡蛋现货价格的下跌，蛋鸡养殖利润亦随之下滑，养殖户淘汰积极性持续较高。考虑到节后现货已季节性回落，再加上春节长假期间外盘大豆与玉米期价持续下跌，维持中性观点，建议暂以观望为宜，等待现货季节性低点出现后，视现货与基差再行入场。</w:t>
      </w:r>
    </w:p>
    <w:p>
      <w:pPr>
        <w:ind w:firstLine="480" w:firstLineChars="200"/>
        <w:rPr>
          <w:rFonts w:ascii="楷体" w:hAnsi="楷体" w:eastAsia="楷体"/>
          <w:sz w:val="24"/>
          <w:szCs w:val="24"/>
        </w:rPr>
      </w:pP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39" w:name="_Toc22329"/>
      <w:r>
        <w:rPr>
          <w:rFonts w:hint="eastAsia" w:ascii="Times New Roman" w:hAnsi="Times New Roman" w:eastAsia="楷体"/>
          <w:b/>
          <w:color w:val="823C0B"/>
          <w:sz w:val="30"/>
          <w:szCs w:val="30"/>
        </w:rPr>
        <w:t>[指数]</w:t>
      </w:r>
      <w:bookmarkEnd w:id="39"/>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0" w:name="_Toc25738"/>
      <w:r>
        <w:rPr>
          <w:rFonts w:hint="eastAsia" w:ascii="Times New Roman" w:hAnsi="Times New Roman" w:eastAsia="楷体"/>
          <w:b/>
          <w:color w:val="000000" w:themeColor="text1"/>
          <w:sz w:val="24"/>
          <w:szCs w:val="24"/>
          <w14:textFill>
            <w14:solidFill>
              <w14:schemeClr w14:val="tx1"/>
            </w14:solidFill>
          </w14:textFill>
        </w:rPr>
        <w:t>集运指数（欧线）：红海船舶持续受袭，绕行比例持续上升，期价维持弱势</w:t>
      </w:r>
      <w:bookmarkEnd w:id="40"/>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红海局势方面冲突持续，胡塞武装保持袭船，昨日对一艘MSC旗下的船舶进行了瞄准打击，目前欧地航线绕航船舶数量达到271艘，占比首次突破75%至77。长期来看，供过于求格局仍存，据克拉克森统计，2024年全年集运新增运力预估为9.47%，全年看运价上方压力较大。</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短期看，马士基率先更新第9周和第10周的即期报价，较节前运价跌幅显著。根据周期性，春节长假后，运力供给的恢复一般较快，而工厂开工、货运需求则缓慢提升。因此周期性因素拖动EC转弱势，震荡区间约为1900至2200点。</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1" w:name="_Toc19667"/>
      <w:bookmarkStart w:id="42" w:name="_Toc71212556"/>
      <w:bookmarkStart w:id="43" w:name="_Toc12779"/>
      <w:bookmarkStart w:id="44" w:name="_Toc72481108"/>
      <w:bookmarkStart w:id="45" w:name="_Toc98426751"/>
      <w:r>
        <w:rPr>
          <w:rFonts w:ascii="Times New Roman" w:hAnsi="Times New Roman" w:eastAsia="楷体"/>
          <w:b/>
          <w:color w:val="411D05"/>
          <w:sz w:val="30"/>
          <w:szCs w:val="30"/>
        </w:rPr>
        <w:t>免责声明</w:t>
      </w:r>
      <w:bookmarkEnd w:id="41"/>
      <w:bookmarkEnd w:id="42"/>
      <w:bookmarkEnd w:id="43"/>
      <w:bookmarkEnd w:id="44"/>
      <w:bookmarkEnd w:id="45"/>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2024年2月23日星期五</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2E32A5D"/>
    <w:rsid w:val="035D5749"/>
    <w:rsid w:val="057D13AE"/>
    <w:rsid w:val="064A667C"/>
    <w:rsid w:val="06B2613D"/>
    <w:rsid w:val="06B753E3"/>
    <w:rsid w:val="09B849A4"/>
    <w:rsid w:val="09F160E3"/>
    <w:rsid w:val="0AC64130"/>
    <w:rsid w:val="0B42525D"/>
    <w:rsid w:val="0C1F7DEE"/>
    <w:rsid w:val="0C88769D"/>
    <w:rsid w:val="0CDE660D"/>
    <w:rsid w:val="0D032A7C"/>
    <w:rsid w:val="0F662138"/>
    <w:rsid w:val="0F9B0CE9"/>
    <w:rsid w:val="0FF35275"/>
    <w:rsid w:val="100732C8"/>
    <w:rsid w:val="10DA6205"/>
    <w:rsid w:val="111441F0"/>
    <w:rsid w:val="113D3FD2"/>
    <w:rsid w:val="121F7D21"/>
    <w:rsid w:val="129B2E20"/>
    <w:rsid w:val="12AA5DF8"/>
    <w:rsid w:val="134E6356"/>
    <w:rsid w:val="13AE24B4"/>
    <w:rsid w:val="15364A7C"/>
    <w:rsid w:val="15602ADB"/>
    <w:rsid w:val="15D52593"/>
    <w:rsid w:val="197E6634"/>
    <w:rsid w:val="1B8A2034"/>
    <w:rsid w:val="1BC72FF7"/>
    <w:rsid w:val="1D03226A"/>
    <w:rsid w:val="1D5030CD"/>
    <w:rsid w:val="1D876087"/>
    <w:rsid w:val="1DFF64E4"/>
    <w:rsid w:val="1ECB51CD"/>
    <w:rsid w:val="2056595D"/>
    <w:rsid w:val="20AE4DE8"/>
    <w:rsid w:val="21194658"/>
    <w:rsid w:val="216834DE"/>
    <w:rsid w:val="21996AC1"/>
    <w:rsid w:val="219F3EE2"/>
    <w:rsid w:val="21F57098"/>
    <w:rsid w:val="22BB5089"/>
    <w:rsid w:val="24321B2E"/>
    <w:rsid w:val="244B21DE"/>
    <w:rsid w:val="247F3074"/>
    <w:rsid w:val="24B82D9D"/>
    <w:rsid w:val="258A2E5C"/>
    <w:rsid w:val="25B924F3"/>
    <w:rsid w:val="25E06B30"/>
    <w:rsid w:val="268419CF"/>
    <w:rsid w:val="26AC2D80"/>
    <w:rsid w:val="26F95364"/>
    <w:rsid w:val="2B9C319C"/>
    <w:rsid w:val="2C1D776C"/>
    <w:rsid w:val="2C6C12B9"/>
    <w:rsid w:val="2CA93C52"/>
    <w:rsid w:val="2D912E3A"/>
    <w:rsid w:val="2DC02C2B"/>
    <w:rsid w:val="2DE440F7"/>
    <w:rsid w:val="2FA14A50"/>
    <w:rsid w:val="2FA70F17"/>
    <w:rsid w:val="32951C0D"/>
    <w:rsid w:val="340E7198"/>
    <w:rsid w:val="34A75784"/>
    <w:rsid w:val="373F75CC"/>
    <w:rsid w:val="38F320AA"/>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FE09FD"/>
    <w:rsid w:val="3F345DBE"/>
    <w:rsid w:val="40F15753"/>
    <w:rsid w:val="41F950F8"/>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70382C"/>
    <w:rsid w:val="57CB522F"/>
    <w:rsid w:val="58042686"/>
    <w:rsid w:val="58246D5D"/>
    <w:rsid w:val="58EC5960"/>
    <w:rsid w:val="59151C86"/>
    <w:rsid w:val="59C52328"/>
    <w:rsid w:val="5AD37D8A"/>
    <w:rsid w:val="5B906095"/>
    <w:rsid w:val="5BF60A75"/>
    <w:rsid w:val="5C9F2D01"/>
    <w:rsid w:val="5D5617A6"/>
    <w:rsid w:val="5D716329"/>
    <w:rsid w:val="5EA23F15"/>
    <w:rsid w:val="5EA7685B"/>
    <w:rsid w:val="5ED40954"/>
    <w:rsid w:val="60BE22C5"/>
    <w:rsid w:val="619A2BBF"/>
    <w:rsid w:val="61DF02D0"/>
    <w:rsid w:val="62710E5F"/>
    <w:rsid w:val="63735B47"/>
    <w:rsid w:val="63FF1EA7"/>
    <w:rsid w:val="64C32497"/>
    <w:rsid w:val="669D0EEA"/>
    <w:rsid w:val="66C861F9"/>
    <w:rsid w:val="66D04BBC"/>
    <w:rsid w:val="67655BF9"/>
    <w:rsid w:val="67C6389B"/>
    <w:rsid w:val="685D4EEE"/>
    <w:rsid w:val="68AE1587"/>
    <w:rsid w:val="68D53E8D"/>
    <w:rsid w:val="6A194855"/>
    <w:rsid w:val="6B292599"/>
    <w:rsid w:val="6E133456"/>
    <w:rsid w:val="6ECB7DD2"/>
    <w:rsid w:val="6FE61065"/>
    <w:rsid w:val="70675779"/>
    <w:rsid w:val="713E0334"/>
    <w:rsid w:val="716F5E64"/>
    <w:rsid w:val="72417AFE"/>
    <w:rsid w:val="729B5F03"/>
    <w:rsid w:val="72D92B78"/>
    <w:rsid w:val="72F62A89"/>
    <w:rsid w:val="737357AF"/>
    <w:rsid w:val="74163BE4"/>
    <w:rsid w:val="75292EAC"/>
    <w:rsid w:val="755A5FEF"/>
    <w:rsid w:val="75775016"/>
    <w:rsid w:val="758E0106"/>
    <w:rsid w:val="7626762C"/>
    <w:rsid w:val="778F5135"/>
    <w:rsid w:val="77D54B08"/>
    <w:rsid w:val="784F7772"/>
    <w:rsid w:val="78713929"/>
    <w:rsid w:val="78E55995"/>
    <w:rsid w:val="79267C0B"/>
    <w:rsid w:val="79C90FB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2024-02-23T02:47:25Z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