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_Toc27912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_Toc25040 </w:instrText>
          </w:r>
          <w:r>
            <w:rPr>
              <w:bCs/>
            </w:rPr>
            <w:fldChar w:fldCharType="separate"/>
          </w:r>
          <w:r>
            <w:rPr>
              <w:rFonts w:hint="eastAsia" w:ascii="Times New Roman" w:hAnsi="Times New Roman" w:eastAsia="楷体"/>
              <w:szCs w:val="24"/>
            </w:rPr>
            <w:t>股指：部分多单逢高止盈</w:t>
          </w:r>
          <w:r>
            <w:rPr>
              <w:bCs/>
            </w:rPr>
            <w:fldChar w:fldCharType="end"/>
          </w:r>
        </w:p>
        <w:p>
          <w:pPr>
            <w:pStyle w:val="59"/>
            <w:tabs>
              <w:tab w:val="right" w:leader="dot" w:pos="8306"/>
            </w:tabs>
          </w:pPr>
          <w:r>
            <w:rPr>
              <w:bCs/>
            </w:rPr>
            <w:fldChar w:fldCharType="begin"/>
          </w:r>
          <w:r>
            <w:rPr>
              <w:bCs/>
            </w:rPr>
            <w:instrText xml:space="preserve"> HYPERLINK \l _Toc1776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_Toc5908 </w:instrText>
          </w:r>
          <w:r>
            <w:rPr>
              <w:bCs/>
            </w:rPr>
            <w:fldChar w:fldCharType="separate"/>
          </w:r>
          <w:r>
            <w:rPr>
              <w:rFonts w:hint="eastAsia" w:ascii="Times New Roman" w:hAnsi="Times New Roman" w:eastAsia="楷体"/>
              <w:szCs w:val="24"/>
            </w:rPr>
            <w:t>贵金属：美联储纪要认为降息未到时机，贵金属价格小幅下跌</w:t>
          </w:r>
          <w:r>
            <w:rPr>
              <w:bCs/>
            </w:rPr>
            <w:fldChar w:fldCharType="end"/>
          </w:r>
        </w:p>
        <w:p>
          <w:pPr>
            <w:pStyle w:val="59"/>
            <w:tabs>
              <w:tab w:val="right" w:leader="dot" w:pos="8306"/>
            </w:tabs>
          </w:pPr>
          <w:r>
            <w:rPr>
              <w:bCs/>
            </w:rPr>
            <w:fldChar w:fldCharType="begin"/>
          </w:r>
          <w:r>
            <w:rPr>
              <w:bCs/>
            </w:rPr>
            <w:instrText xml:space="preserve"> HYPERLINK \l _Toc2639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_Toc7959 </w:instrText>
          </w:r>
          <w:r>
            <w:rPr>
              <w:bCs/>
            </w:rPr>
            <w:fldChar w:fldCharType="separate"/>
          </w:r>
          <w:r>
            <w:rPr>
              <w:rFonts w:hint="eastAsia" w:ascii="楷体" w:hAnsi="楷体" w:eastAsia="楷体"/>
              <w:szCs w:val="24"/>
            </w:rPr>
            <w:t>碳酸锂：江西地区环保督察或趋严，消息面因素扰动下期价冲高回落</w:t>
          </w:r>
          <w:r>
            <w:rPr>
              <w:bCs/>
            </w:rPr>
            <w:fldChar w:fldCharType="end"/>
          </w:r>
        </w:p>
        <w:p>
          <w:pPr>
            <w:pStyle w:val="74"/>
            <w:tabs>
              <w:tab w:val="right" w:leader="dot" w:pos="8306"/>
            </w:tabs>
          </w:pPr>
          <w:r>
            <w:rPr>
              <w:bCs/>
            </w:rPr>
            <w:fldChar w:fldCharType="begin"/>
          </w:r>
          <w:r>
            <w:rPr>
              <w:bCs/>
            </w:rPr>
            <w:instrText xml:space="preserve"> HYPERLINK \l _Toc18692 </w:instrText>
          </w:r>
          <w:r>
            <w:rPr>
              <w:bCs/>
            </w:rPr>
            <w:fldChar w:fldCharType="separate"/>
          </w:r>
          <w:r>
            <w:rPr>
              <w:rFonts w:hint="eastAsia" w:ascii="楷体" w:hAnsi="楷体" w:eastAsia="楷体"/>
              <w:szCs w:val="24"/>
            </w:rPr>
            <w:t>铜：价格持稳运行</w:t>
          </w:r>
          <w:r>
            <w:rPr>
              <w:bCs/>
            </w:rPr>
            <w:fldChar w:fldCharType="end"/>
          </w:r>
        </w:p>
        <w:p>
          <w:pPr>
            <w:pStyle w:val="74"/>
            <w:tabs>
              <w:tab w:val="right" w:leader="dot" w:pos="8306"/>
            </w:tabs>
          </w:pPr>
          <w:r>
            <w:rPr>
              <w:bCs/>
            </w:rPr>
            <w:fldChar w:fldCharType="begin"/>
          </w:r>
          <w:r>
            <w:rPr>
              <w:bCs/>
            </w:rPr>
            <w:instrText xml:space="preserve"> HYPERLINK \l _Toc14176 </w:instrText>
          </w:r>
          <w:r>
            <w:rPr>
              <w:bCs/>
            </w:rPr>
            <w:fldChar w:fldCharType="separate"/>
          </w:r>
          <w:r>
            <w:rPr>
              <w:rFonts w:hint="eastAsia" w:ascii="楷体" w:hAnsi="楷体" w:eastAsia="楷体"/>
              <w:szCs w:val="24"/>
            </w:rPr>
            <w:t>铝：铝价区间偏强震荡运行</w:t>
          </w:r>
          <w:r>
            <w:rPr>
              <w:bCs/>
            </w:rPr>
            <w:fldChar w:fldCharType="end"/>
          </w:r>
        </w:p>
        <w:p>
          <w:pPr>
            <w:pStyle w:val="74"/>
            <w:tabs>
              <w:tab w:val="right" w:leader="dot" w:pos="8306"/>
            </w:tabs>
          </w:pPr>
          <w:r>
            <w:rPr>
              <w:bCs/>
            </w:rPr>
            <w:fldChar w:fldCharType="begin"/>
          </w:r>
          <w:r>
            <w:rPr>
              <w:bCs/>
            </w:rPr>
            <w:instrText xml:space="preserve"> HYPERLINK \l _Toc30995 </w:instrText>
          </w:r>
          <w:r>
            <w:rPr>
              <w:bCs/>
            </w:rPr>
            <w:fldChar w:fldCharType="separate"/>
          </w:r>
          <w:r>
            <w:rPr>
              <w:rFonts w:hint="eastAsia" w:ascii="楷体" w:hAnsi="楷体" w:eastAsia="楷体"/>
              <w:szCs w:val="24"/>
            </w:rPr>
            <w:t>锌：下方空间有限，盘面价格反弹修复</w:t>
          </w:r>
          <w:r>
            <w:rPr>
              <w:bCs/>
            </w:rPr>
            <w:fldChar w:fldCharType="end"/>
          </w:r>
        </w:p>
        <w:p>
          <w:pPr>
            <w:pStyle w:val="74"/>
            <w:tabs>
              <w:tab w:val="right" w:leader="dot" w:pos="8306"/>
            </w:tabs>
          </w:pPr>
          <w:r>
            <w:rPr>
              <w:bCs/>
            </w:rPr>
            <w:fldChar w:fldCharType="begin"/>
          </w:r>
          <w:r>
            <w:rPr>
              <w:bCs/>
            </w:rPr>
            <w:instrText xml:space="preserve"> HYPERLINK \l _Toc23057 </w:instrText>
          </w:r>
          <w:r>
            <w:rPr>
              <w:bCs/>
            </w:rPr>
            <w:fldChar w:fldCharType="separate"/>
          </w:r>
          <w:r>
            <w:rPr>
              <w:rFonts w:hint="eastAsia" w:ascii="楷体" w:hAnsi="楷体" w:eastAsia="楷体"/>
              <w:szCs w:val="24"/>
            </w:rPr>
            <w:t>镍：过剩格局不改，镍价缺乏继续上行驱动</w:t>
          </w:r>
          <w:r>
            <w:rPr>
              <w:bCs/>
            </w:rPr>
            <w:fldChar w:fldCharType="end"/>
          </w:r>
        </w:p>
        <w:p>
          <w:pPr>
            <w:pStyle w:val="74"/>
            <w:tabs>
              <w:tab w:val="right" w:leader="dot" w:pos="8306"/>
            </w:tabs>
          </w:pPr>
          <w:r>
            <w:rPr>
              <w:bCs/>
            </w:rPr>
            <w:fldChar w:fldCharType="begin"/>
          </w:r>
          <w:r>
            <w:rPr>
              <w:bCs/>
            </w:rPr>
            <w:instrText xml:space="preserve"> HYPERLINK \l _Toc8066 </w:instrText>
          </w:r>
          <w:r>
            <w:rPr>
              <w:bCs/>
            </w:rPr>
            <w:fldChar w:fldCharType="separate"/>
          </w:r>
          <w:r>
            <w:rPr>
              <w:rFonts w:hint="eastAsia" w:ascii="楷体" w:hAnsi="楷体" w:eastAsia="楷体"/>
              <w:szCs w:val="24"/>
            </w:rPr>
            <w:t>不锈钢：向好预期与成交偏淡交织，短期或窄幅震荡偏强运行</w:t>
          </w:r>
          <w:r>
            <w:rPr>
              <w:bCs/>
            </w:rPr>
            <w:fldChar w:fldCharType="end"/>
          </w:r>
        </w:p>
        <w:p>
          <w:pPr>
            <w:pStyle w:val="74"/>
            <w:tabs>
              <w:tab w:val="right" w:leader="dot" w:pos="8306"/>
            </w:tabs>
          </w:pPr>
          <w:r>
            <w:rPr>
              <w:bCs/>
            </w:rPr>
            <w:fldChar w:fldCharType="begin"/>
          </w:r>
          <w:r>
            <w:rPr>
              <w:bCs/>
            </w:rPr>
            <w:instrText xml:space="preserve"> HYPERLINK \l _Toc17887 </w:instrText>
          </w:r>
          <w:r>
            <w:rPr>
              <w:bCs/>
            </w:rPr>
            <w:fldChar w:fldCharType="separate"/>
          </w:r>
          <w:r>
            <w:rPr>
              <w:rFonts w:hint="eastAsia" w:ascii="楷体" w:hAnsi="楷体" w:eastAsia="楷体"/>
              <w:szCs w:val="24"/>
            </w:rPr>
            <w:t>工业硅：节后补库或逐步恢复，预计下跌空间有限</w:t>
          </w:r>
          <w:r>
            <w:rPr>
              <w:bCs/>
            </w:rPr>
            <w:fldChar w:fldCharType="end"/>
          </w:r>
        </w:p>
        <w:p>
          <w:pPr>
            <w:pStyle w:val="59"/>
            <w:tabs>
              <w:tab w:val="right" w:leader="dot" w:pos="8306"/>
            </w:tabs>
          </w:pPr>
          <w:r>
            <w:rPr>
              <w:bCs/>
            </w:rPr>
            <w:fldChar w:fldCharType="begin"/>
          </w:r>
          <w:r>
            <w:rPr>
              <w:bCs/>
            </w:rPr>
            <w:instrText xml:space="preserve"> HYPERLINK \l _Toc7917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_Toc24261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节后轮胎厂返工与天胶库存上升并存 胶价或震荡整理</w:t>
          </w:r>
          <w:r>
            <w:rPr>
              <w:bCs/>
            </w:rPr>
            <w:fldChar w:fldCharType="end"/>
          </w:r>
        </w:p>
        <w:p>
          <w:pPr>
            <w:pStyle w:val="74"/>
            <w:tabs>
              <w:tab w:val="right" w:leader="dot" w:pos="8306"/>
            </w:tabs>
          </w:pPr>
          <w:r>
            <w:rPr>
              <w:bCs/>
            </w:rPr>
            <w:fldChar w:fldCharType="begin"/>
          </w:r>
          <w:r>
            <w:rPr>
              <w:bCs/>
            </w:rPr>
            <w:instrText xml:space="preserve"> HYPERLINK \l _Toc28651 </w:instrText>
          </w:r>
          <w:r>
            <w:rPr>
              <w:bCs/>
            </w:rPr>
            <w:fldChar w:fldCharType="separate"/>
          </w:r>
          <w:r>
            <w:rPr>
              <w:rFonts w:hint="eastAsia" w:ascii="楷体" w:hAnsi="楷体" w:eastAsia="楷体"/>
              <w:szCs w:val="24"/>
            </w:rPr>
            <w:t>聚烯烃：市场多空因素交织，聚烯烃或震荡表现为主</w:t>
          </w:r>
          <w:r>
            <w:rPr>
              <w:bCs/>
            </w:rPr>
            <w:fldChar w:fldCharType="end"/>
          </w:r>
        </w:p>
        <w:p>
          <w:pPr>
            <w:pStyle w:val="74"/>
            <w:tabs>
              <w:tab w:val="right" w:leader="dot" w:pos="8306"/>
            </w:tabs>
          </w:pPr>
          <w:r>
            <w:rPr>
              <w:bCs/>
            </w:rPr>
            <w:fldChar w:fldCharType="begin"/>
          </w:r>
          <w:r>
            <w:rPr>
              <w:bCs/>
            </w:rPr>
            <w:instrText xml:space="preserve"> HYPERLINK \l _Toc30047 </w:instrText>
          </w:r>
          <w:r>
            <w:rPr>
              <w:bCs/>
            </w:rPr>
            <w:fldChar w:fldCharType="separate"/>
          </w:r>
          <w:r>
            <w:rPr>
              <w:rFonts w:hint="eastAsia" w:ascii="楷体" w:hAnsi="楷体" w:eastAsia="楷体"/>
              <w:szCs w:val="24"/>
            </w:rPr>
            <w:t>乙二醇：供需格局尚可 乙二醇仍偏多配</w:t>
          </w:r>
          <w:r>
            <w:rPr>
              <w:bCs/>
            </w:rPr>
            <w:fldChar w:fldCharType="end"/>
          </w:r>
        </w:p>
        <w:p>
          <w:pPr>
            <w:pStyle w:val="74"/>
            <w:tabs>
              <w:tab w:val="right" w:leader="dot" w:pos="8306"/>
            </w:tabs>
          </w:pPr>
          <w:r>
            <w:rPr>
              <w:bCs/>
            </w:rPr>
            <w:fldChar w:fldCharType="begin"/>
          </w:r>
          <w:r>
            <w:rPr>
              <w:bCs/>
            </w:rPr>
            <w:instrText xml:space="preserve"> HYPERLINK \l _Toc31105 </w:instrText>
          </w:r>
          <w:r>
            <w:rPr>
              <w:bCs/>
            </w:rPr>
            <w:fldChar w:fldCharType="separate"/>
          </w:r>
          <w:r>
            <w:rPr>
              <w:rFonts w:hint="eastAsia" w:ascii="楷体" w:hAnsi="楷体" w:eastAsia="楷体"/>
              <w:szCs w:val="24"/>
            </w:rPr>
            <w:t>PTA：成本提振期价偏强</w:t>
          </w:r>
          <w:r>
            <w:rPr>
              <w:bCs/>
            </w:rPr>
            <w:fldChar w:fldCharType="end"/>
          </w:r>
        </w:p>
        <w:p>
          <w:pPr>
            <w:pStyle w:val="74"/>
            <w:tabs>
              <w:tab w:val="right" w:leader="dot" w:pos="8306"/>
            </w:tabs>
          </w:pPr>
          <w:r>
            <w:rPr>
              <w:bCs/>
            </w:rPr>
            <w:fldChar w:fldCharType="begin"/>
          </w:r>
          <w:r>
            <w:rPr>
              <w:bCs/>
            </w:rPr>
            <w:instrText xml:space="preserve"> HYPERLINK \l _Toc12817 </w:instrText>
          </w:r>
          <w:r>
            <w:rPr>
              <w:bCs/>
            </w:rPr>
            <w:fldChar w:fldCharType="separate"/>
          </w:r>
          <w:r>
            <w:rPr>
              <w:rFonts w:hint="eastAsia" w:ascii="楷体" w:hAnsi="楷体" w:eastAsia="楷体"/>
              <w:szCs w:val="24"/>
            </w:rPr>
            <w:t>玻璃：期现负反馈中，等待需求端启动</w:t>
          </w:r>
          <w:r>
            <w:rPr>
              <w:bCs/>
            </w:rPr>
            <w:fldChar w:fldCharType="end"/>
          </w:r>
        </w:p>
        <w:p>
          <w:pPr>
            <w:pStyle w:val="74"/>
            <w:tabs>
              <w:tab w:val="right" w:leader="dot" w:pos="8306"/>
            </w:tabs>
          </w:pPr>
          <w:r>
            <w:rPr>
              <w:bCs/>
            </w:rPr>
            <w:fldChar w:fldCharType="begin"/>
          </w:r>
          <w:r>
            <w:rPr>
              <w:bCs/>
            </w:rPr>
            <w:instrText xml:space="preserve"> HYPERLINK \l _Toc29229 </w:instrText>
          </w:r>
          <w:r>
            <w:rPr>
              <w:bCs/>
            </w:rPr>
            <w:fldChar w:fldCharType="separate"/>
          </w:r>
          <w:r>
            <w:rPr>
              <w:rFonts w:hint="eastAsia" w:ascii="楷体" w:hAnsi="楷体" w:eastAsia="楷体"/>
              <w:szCs w:val="24"/>
            </w:rPr>
            <w:t>纯碱：成本线附近跌幅趋缓，反弹略显乏力</w:t>
          </w:r>
          <w:r>
            <w:rPr>
              <w:bCs/>
            </w:rPr>
            <w:fldChar w:fldCharType="end"/>
          </w:r>
        </w:p>
        <w:p>
          <w:pPr>
            <w:pStyle w:val="59"/>
            <w:tabs>
              <w:tab w:val="right" w:leader="dot" w:pos="8306"/>
            </w:tabs>
          </w:pPr>
          <w:r>
            <w:rPr>
              <w:bCs/>
            </w:rPr>
            <w:fldChar w:fldCharType="begin"/>
          </w:r>
          <w:r>
            <w:rPr>
              <w:bCs/>
            </w:rPr>
            <w:instrText xml:space="preserve"> HYPERLINK \l _Toc2658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_Toc13909 </w:instrText>
          </w:r>
          <w:r>
            <w:rPr>
              <w:bCs/>
            </w:rPr>
            <w:fldChar w:fldCharType="separate"/>
          </w:r>
          <w:r>
            <w:rPr>
              <w:rFonts w:hint="eastAsia" w:ascii="楷体" w:hAnsi="楷体" w:eastAsia="楷体"/>
              <w:bCs/>
            </w:rPr>
            <w:t>玉米与淀粉：</w:t>
          </w:r>
          <w:r>
            <w:rPr>
              <w:rFonts w:hint="eastAsia" w:ascii="楷体" w:hAnsi="楷体" w:eastAsia="楷体"/>
            </w:rPr>
            <w:t>期价延续涨势</w:t>
          </w:r>
          <w:r>
            <w:rPr>
              <w:bCs/>
            </w:rPr>
            <w:fldChar w:fldCharType="end"/>
          </w:r>
        </w:p>
        <w:p>
          <w:pPr>
            <w:pStyle w:val="74"/>
            <w:tabs>
              <w:tab w:val="right" w:leader="dot" w:pos="8306"/>
            </w:tabs>
          </w:pPr>
          <w:r>
            <w:rPr>
              <w:bCs/>
            </w:rPr>
            <w:fldChar w:fldCharType="begin"/>
          </w:r>
          <w:r>
            <w:rPr>
              <w:bCs/>
            </w:rPr>
            <w:instrText xml:space="preserve"> HYPERLINK \l _Toc6710 </w:instrText>
          </w:r>
          <w:r>
            <w:rPr>
              <w:bCs/>
            </w:rPr>
            <w:fldChar w:fldCharType="separate"/>
          </w:r>
          <w:r>
            <w:rPr>
              <w:rFonts w:hint="eastAsia" w:ascii="楷体" w:hAnsi="楷体" w:eastAsia="楷体"/>
              <w:bCs/>
            </w:rPr>
            <w:t>畜禽养殖：生猪期价延续弱势</w:t>
          </w:r>
          <w:r>
            <w:rPr>
              <w:bCs/>
            </w:rPr>
            <w:fldChar w:fldCharType="end"/>
          </w:r>
        </w:p>
        <w:p>
          <w:pPr>
            <w:pStyle w:val="59"/>
            <w:tabs>
              <w:tab w:val="right" w:leader="dot" w:pos="8306"/>
            </w:tabs>
          </w:pPr>
          <w:r>
            <w:rPr>
              <w:bCs/>
            </w:rPr>
            <w:fldChar w:fldCharType="begin"/>
          </w:r>
          <w:r>
            <w:rPr>
              <w:bCs/>
            </w:rPr>
            <w:instrText xml:space="preserve"> HYPERLINK \l _Toc10010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_Toc18375 </w:instrText>
          </w:r>
          <w:r>
            <w:rPr>
              <w:bCs/>
            </w:rPr>
            <w:fldChar w:fldCharType="separate"/>
          </w:r>
          <w:r>
            <w:rPr>
              <w:rFonts w:hint="eastAsia" w:ascii="Times New Roman" w:hAnsi="Times New Roman" w:eastAsia="楷体"/>
              <w:szCs w:val="24"/>
            </w:rPr>
            <w:t>集运指数（欧线）：船司运费下调春节后进入淡季，EC走势渐弱</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7912"/>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2504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部分多单逢高止盈</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修复性行情延续，但由于缺乏可持续的预期改善动力，预计市场的反弹不会一蹴而就，指数经过连续反弹，短期基本到达重要技术压力位，后续指数或仍需震荡磨底，沪指3000点关口也仍存在震荡整固需求，可注意把握其中结构性机会。此外，临近重要会议，市场对政策端的关注度或进一步抬升，建议后续密切关注政策和产业的积极变化。</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7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5908"/>
      <w:r>
        <w:rPr>
          <w:rFonts w:hint="eastAsia" w:ascii="Times New Roman" w:hAnsi="Times New Roman" w:eastAsia="楷体"/>
          <w:b/>
          <w:color w:val="000000" w:themeColor="text1"/>
          <w:sz w:val="24"/>
          <w:szCs w:val="24"/>
          <w14:textFill>
            <w14:solidFill>
              <w14:schemeClr w14:val="tx1"/>
            </w14:solidFill>
          </w14:textFill>
        </w:rPr>
        <w:t>贵金属：美联储纪要认为降息未到时机，贵金属价格小幅下跌</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横盘运行，暂报104.0；沪金跌0.28%，沪银跌0.50%。美联储会议纪要显示，多数美联储官员认为，政策利率可能处于峰值，在更有信心通胀会达标前，不适合降息；大多数官员强调不确定高利率持续多久、强调以评估数据判断降通胀进展的重要性，两名官员指出长期紧缩带来经济下行风险。美国至2月16日当周MBA30年期固定抵押贷款利率升至7.06%，自去年12月初以来首次突破7%。后续关注今日晚间美国2月Markit制造业、服务业PMI初值数据表现。美联储纪要提示近期启动降息概率较低，降息预期后置，贵金属价格或维持区间震荡，建议暂以观望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_Toc20891"/>
      <w:bookmarkStart w:id="12" w:name="金属"/>
      <w:bookmarkStart w:id="13" w:name="_Toc263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795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碳酸锂：江西地区环保督察或趋严，消息面因素扰动下期价冲高回落</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碳酸锂期价短线大幅上涨，一度触及10%涨停板，午后回吐部分涨幅，07合约收涨3.47%至96900元/吨。价格大幅波动主要受盘中消息影响，市场传闻提及江西地区2024年二季度或加大环保督察力度，关注锂渣处理情况，部分市场参与方一定程度上对于3月锂盐生产企业能否正常恢复生产形成担忧。考虑到近期部分企业因年度检修及春节假期仍处于停产状态，消息当前而言暂未对生产带来实际影响。突发消息面因素扰动影响下价格波动加剧，建议前期空头策略止损，留意交易风险。</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18692"/>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价格持稳运行</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(1)产业：国际铜业研究小组(ICSG)在最新发布的月报中称，2023年12月全球精炼铜市场供应过剩2.0万吨，11月短缺为12.30万吨。报告称，2023年1-12月全球精炼铜市场供应短缺8.7万吨，而2022年为供应短缺43.4万吨。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(2)库存：2月21日，SHFE仓单库存118751吨，减768吨；LME仓单库存124075吨，减1850吨。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(3)精废价差：2月21日，Mysteel精废价差1722，扩张186。目前价差在合理价差1388之上。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联储1月会议记录基本符合预期，会议记录显示大部分决策者担心过早降息的风险。然而，零售销售数据和其他数据也显示出一些疲软迹象，近期美元指数下调后对铜价压制有所缓解，但海外降息预期仍存在反复可能性，美元指数短期或难有趋势性行情。基本面，节后库存继续累增，现货升水被压制，短期市场交易或侧重宏观政策偏多带来的需求预期，价格上涨后相对持稳运行，波动区间参考68000-69500元/吨。</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14176"/>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铝价区间偏强震荡运行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宏观仍在交易联储降息预期，美国经济数据表现韧性，降息预期走弱，国内政策面积极信号持续释放，央行降息展现决心，金融市场环境维持宽松。基本面上看，春节期间供应生产维持，节后铝棒+铝锭+厂内库存恢复到去年同期附近水平，逐步要进入消费旺季，目前是消费验证真空时期，在需求边际转好的预期之下，铝价在18600-19300震荡区间内偏强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30995"/>
      <w:r>
        <w:rPr>
          <w:rFonts w:hint="eastAsia" w:ascii="楷体" w:hAnsi="楷体" w:eastAsia="楷体"/>
          <w:b/>
          <w:color w:val="000000" w:themeColor="text1"/>
          <w:sz w:val="24"/>
          <w:szCs w:val="24"/>
          <w14:textFill>
            <w14:solidFill>
              <w14:schemeClr w14:val="tx1"/>
            </w14:solidFill>
          </w14:textFill>
        </w:rPr>
        <w:t>锌：下方空间有限，盘面价格反弹修复</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维持内强外弱，基本面上看，矿端供应依旧偏紧，国内矿产下滑，加工费走弱表明上游市场供应紧缺，原料趋紧叠加中游冶炼利润为负的影响导致冶炼企业生产积极性下降，部门厂家在节前提早放假，2月炼锌供应预计环比减少，消费端逐步要进入旺季，下游企业多计划逐步复工，有需求走好预期及成本支撑锌市下方价格。</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23057"/>
      <w:r>
        <w:rPr>
          <w:rFonts w:hint="eastAsia" w:ascii="楷体" w:hAnsi="楷体" w:eastAsia="楷体"/>
          <w:b/>
          <w:color w:val="000000" w:themeColor="text1"/>
          <w:sz w:val="24"/>
          <w:szCs w:val="24"/>
          <w14:textFill>
            <w14:solidFill>
              <w14:schemeClr w14:val="tx1"/>
            </w14:solidFill>
          </w14:textFill>
        </w:rPr>
        <w:t>镍：过剩格局不改，镍价缺乏继续上行驱动</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从原料来看，印尼RKAB审批目前仍较慢，市场对节后镍铁存在看涨情绪，镍铁价格稳中偏强运行；硫酸镍在现货维持偏紧状况，短期价格预计偏强运行，为镍价带来底部支撑。从供需格局来看，虽然嘉能可等多个海外镍企宣布将下调镍产量，但减产量级相对较小，仍无法扭转镍供应过剩格局，Mysteel预计2月国内精炼镍产量24250吨，环比增加6.69%，同比增加41.56%，镍社会库存预计维持累库趋势难改。综合而言，过剩压力持续，镍价缺乏继续上行驱动，关注印尼政策扰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8066"/>
      <w:r>
        <w:rPr>
          <w:rFonts w:hint="eastAsia" w:ascii="楷体" w:hAnsi="楷体" w:eastAsia="楷体"/>
          <w:b/>
          <w:color w:val="000000" w:themeColor="text1"/>
          <w:sz w:val="24"/>
          <w:szCs w:val="24"/>
          <w14:textFill>
            <w14:solidFill>
              <w14:schemeClr w14:val="tx1"/>
            </w14:solidFill>
          </w14:textFill>
        </w:rPr>
        <w:t>不锈钢：向好预期与成交偏淡交织，短期或窄幅震荡偏强运行</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RKAB审批仍偏慢，目前冶炼厂囤积的镍矿库存可支撑至3月前后。镍铁端，市场对节后镍铁存在看涨情绪，预计镍铁价格稳中偏强运行，为不锈钢价提供下方支撑。从供应来看，由于利润空间尚可，2月不锈钢减产力度或不及预期。从需求来看，目前下游暂未全面复工，成交氛围较淡，不过在国内宏观利好政策推动下，市场对后市不锈钢报有向好预期。综合而言，在市场对节后需求抱有乐观预期、印尼RKAB审批偏慢及成本支撑下，预计不锈钢短期或窄幅震荡偏强运行，但在产能过剩格局下不锈钢反弹空间也有限，需观察节后实际需求兑现情况和社会库存变化方向。</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1788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节后补库或逐步恢复，预计下跌空间有限</w:t>
      </w:r>
      <w:bookmarkEnd w:id="27"/>
    </w:p>
    <w:p>
      <w:pPr>
        <w:ind w:left="630" w:leftChars="300"/>
        <w:rPr>
          <w:rFonts w:ascii="楷体" w:hAnsi="楷体" w:eastAsia="楷体"/>
          <w:sz w:val="24"/>
          <w:szCs w:val="24"/>
        </w:rPr>
      </w:pPr>
      <w:r>
        <w:rPr>
          <w:rFonts w:hint="eastAsia" w:ascii="楷体" w:hAnsi="楷体" w:eastAsia="楷体"/>
          <w:sz w:val="24"/>
          <w:szCs w:val="24"/>
        </w:rPr>
        <w:t>2月21日，Si2404主力合约有所反弹，收盘价13310元/吨，较上一收盘价涨跌幅-0.22%。目前市场整体交投偏淡，下游终端采购积极性较低，贸易商观望情绪较浓。但据SMM调研了解，下游磨粉企业在初七左右相继复产，多晶硅、有机硅单体企业春节期间照常生产，铝合金企业也正陆续恢复生产。整体来看，下游企业正陆续恢复生产，春节后补库有望逐步恢复，或对市场存在支撑，预计进一步下跌空间有限。策略上，可尝试逢低做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7917"/>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4261"/>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节后轮胎厂返工与天胶库存上升并存 胶价或震荡整理</w:t>
      </w:r>
      <w:bookmarkEnd w:id="30"/>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泰国供应处于季节性收缩时期，原料价格易涨难跌，标胶到港量下降预期偏强。库存方面，国内社会库存回升，青岛深色胶即将呈现累库拐点，浅色库存同比去年上升。需求端来看，节后返工叠加国内需求的全面复苏，下游工厂陆续复工复产，开工率将恢复性提升。整体看，春节后随着复工复产，天然橡胶需求端提振预期偏强，天胶库存或处于去库周期，但偏高的库存依旧制约盘面上行幅度。</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8651"/>
      <w:r>
        <w:rPr>
          <w:rFonts w:hint="eastAsia" w:ascii="楷体" w:hAnsi="楷体" w:eastAsia="楷体"/>
          <w:b/>
          <w:color w:val="000000" w:themeColor="text1"/>
          <w:sz w:val="24"/>
          <w:szCs w:val="24"/>
          <w14:textFill>
            <w14:solidFill>
              <w14:schemeClr w14:val="tx1"/>
            </w14:solidFill>
          </w14:textFill>
        </w:rPr>
        <w:t>聚烯烃：市场多空因素交织，聚烯烃或震荡表现为主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目前聚烯烃上游石化库存为99万吨，较春节前累库41.5万吨，与去年同期相比增幅较大，库存压力较大。聚烯烃自身开工负荷变动不大，但下游进入集中停工期，春节期间开工率大幅走低，需求降至年内冰点。进口方面，LL进口窗口打开，PP进口窗口关闭。聚烯烃基本面变动不大，建议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30047"/>
      <w:r>
        <w:rPr>
          <w:rFonts w:hint="eastAsia" w:ascii="楷体" w:hAnsi="楷体" w:eastAsia="楷体"/>
          <w:b/>
          <w:color w:val="000000" w:themeColor="text1"/>
          <w:sz w:val="24"/>
          <w:szCs w:val="24"/>
          <w14:textFill>
            <w14:solidFill>
              <w14:schemeClr w14:val="tx1"/>
            </w14:solidFill>
          </w14:textFill>
        </w:rPr>
        <w:t>乙二醇：供需格局尚可 乙二醇仍偏多配</w:t>
      </w:r>
      <w:bookmarkEnd w:id="32"/>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供需情况，2.18华东主港地区MEG港口库存约80万吨附近，环比-2.1万吨，春节期间港口库存未出现累库。截至2月18日，中国大陆地区乙二醇整体开工负荷在68.19%，其中草酸催化加氢法（合成气）制乙二醇开工负荷在59.14%。截至2月18日，国内大陆地区聚酯负荷在81%，后续负荷将陆续提升。终端来看，江浙终端开工率下降加速。截止2.18 江浙下游加弹、织造、印染负荷分别在14%、11%、6%。综合来看，期价大幅走高带动乙二醇利润快速修复，国内不少乙烯制乙二醇装置供应回归。节期日期间，伊朗天然气装置受损成本端提振及乙二醇春节尚未累库，供需格局尚可，短期仍偏多配，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3" w:name="_Toc31105"/>
      <w:r>
        <w:rPr>
          <w:rFonts w:hint="eastAsia" w:ascii="楷体" w:hAnsi="楷体" w:eastAsia="楷体"/>
          <w:b/>
          <w:color w:val="000000" w:themeColor="text1"/>
          <w:sz w:val="24"/>
          <w:szCs w:val="24"/>
          <w14:textFill>
            <w14:solidFill>
              <w14:schemeClr w14:val="tx1"/>
            </w14:solidFill>
          </w14:textFill>
        </w:rPr>
        <w:t>PTA：成本提振期价偏强</w:t>
      </w:r>
      <w:bookmarkEnd w:id="33"/>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成本端原油受地缘局势及宏观提振，短线基调偏强。PTA方面，春节假期PTA装置基本上没有变动，能投100万吨PTA装置负荷提升至9成偏上，其他个别装置负荷小幅调整，目前PTA装置负荷调整至81.7%。年后聚酯检修装置部分已经开启，但仍有较多尚处于升温或准备过程中，综合来看，截至2月18日国内大陆地区聚酯负荷略升至80.1%附近，后续负荷将陆续提升。后续来看，PTA部分装置公布后期检修计划后，3月累库幅度缩减。近期PTA加工费小幅压缩及下游聚酯工厂开工缓慢提升，库存或转移至聚酯工厂。短期受成本端提振期价偏强震荡。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4" w:name="_Toc12817"/>
      <w:r>
        <w:rPr>
          <w:rFonts w:hint="eastAsia" w:ascii="楷体" w:hAnsi="楷体" w:eastAsia="楷体"/>
          <w:b/>
          <w:color w:val="000000" w:themeColor="text1"/>
          <w:sz w:val="24"/>
          <w:szCs w:val="24"/>
          <w14:textFill>
            <w14:solidFill>
              <w14:schemeClr w14:val="tx1"/>
            </w14:solidFill>
          </w14:textFill>
        </w:rPr>
        <w:t>玻璃：期现负反馈中，等待需求端启动</w:t>
      </w:r>
      <w:bookmarkEnd w:id="3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21日报道：今日浮法玻璃现货价格2034元/吨，较上一交易日持平。供给上，全国浮法玻璃日产量为17.23万吨，威海四线500吨今日复产点火，其它复产产线尚在提量当中。库存上，截止到20240218，全国浮法玻璃样本企业总库存5214.0万重箱，环比+1462.5万重箱，环比+38.99%，同比-35.3%。本周预计库存继续累库。从供需来看，供给端日熔量仍处于近三年高位，后市在利润较好的情况下，还有复产产线点火，前期已复产产线尚在提量当中。需求端春节后下游多家深加工厂复工较晚，有补库需求但对价格敏感。年后地产竣工高峰期结束，高回款压力下，下游对年内需求预期较为悲观，开工后虽有补库但备货较为谨慎。在需求未完全启动之前，期现先行出现负反馈格局，昨日盘中一度受原料减产消息刺激反弹，但上涨较为乏力，主力合约冲高回落，继续向下寻找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5" w:name="_Toc29229"/>
      <w:r>
        <w:rPr>
          <w:rFonts w:hint="eastAsia" w:ascii="楷体" w:hAnsi="楷体" w:eastAsia="楷体"/>
          <w:b/>
          <w:color w:val="000000" w:themeColor="text1"/>
          <w:sz w:val="24"/>
          <w:szCs w:val="24"/>
          <w14:textFill>
            <w14:solidFill>
              <w14:schemeClr w14:val="tx1"/>
            </w14:solidFill>
          </w14:textFill>
        </w:rPr>
        <w:t>纯碱：成本线附近跌幅趋缓，反弹略显乏力</w:t>
      </w:r>
      <w:bookmarkEnd w:id="35"/>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下跌，河南、山东地区重碱价格2200元/吨附近，价格较节前阴跌30-50元/吨，成交较差，河南少量重碱有2100元/吨成交。从供给端来看，随着远兴4线的投料和前三条产线的满产，以及各区域复工检修较少，春节之后周产量达到70.56万吨，重新回到高位；从库存上看，截止到2024年2月18日，国内纯碱厂家总库存68.83万吨，环比增加25.80万吨，增幅59.96%，下游厂家复工较晚，对高价碱抵制心理较强，周内延续累库。目前碱厂待发订单较差，玻璃厂纯碱库存接近月底，且月底还有多家进口碱到港。盘面中期累库趋势未改，期价下行到氨碱法成本线附近暂时趋稳，但反弹略显乏力，进入弱势震荡行情。</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2658"/>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ascii="楷体" w:hAnsi="楷体" w:eastAsia="楷体"/>
          <w:b/>
        </w:rPr>
      </w:pPr>
      <w:bookmarkStart w:id="37" w:name="_Toc1390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期价延续涨势</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遵循前期市场逻辑，节后进入余粮压力验证期，当前不利因素有二，其一是春节长假期间外盘玉米期价和升贴水持续下滑，带动进口成本下降；其二是国内产区气温回升，地趴粮压力凸显，带动产区局部地区现货下跌。在这种情况下，需要中下游补库/建库来化解产区余粮压力，考虑到期价特别是远月升水，建议重点关注产区现货价格。我们维持谨慎看多观点，建议投资者持有前期多单，如无前期多单则可考虑择机入场做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淀粉而言，节前淀粉-玉米价差变动不大，主要源于副产品、现货基差和行业供需三个方面的支撑，节后变数在于原料成本和行业供需两个方面，前者在于余粮压力能否被中下游补库/建库加以化解，后者则在于现货加工高利润之下，春节长假期间开机率有望带动淀粉行业库存累积。</w:t>
      </w:r>
    </w:p>
    <w:p>
      <w:pPr>
        <w:pStyle w:val="93"/>
        <w:spacing w:before="0" w:beforeAutospacing="0" w:after="60" w:afterAutospacing="0"/>
        <w:ind w:left="630" w:leftChars="300"/>
        <w:rPr>
          <w:rFonts w:ascii="楷体" w:hAnsi="楷体" w:eastAsia="楷体"/>
        </w:rPr>
      </w:pPr>
      <w:r>
        <w:rPr>
          <w:rFonts w:hint="eastAsia" w:ascii="楷体" w:hAnsi="楷体" w:eastAsia="楷体"/>
        </w:rPr>
        <w:t>综上所述，我们持谨慎看多观点，建议节前多单可以考虑继续持有，套利方面则暂以观望为宜，等待淀粉-玉米价差收窄机会。</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8" w:name="_Toc6710"/>
      <w:r>
        <w:rPr>
          <w:rFonts w:hint="eastAsia" w:ascii="楷体" w:hAnsi="楷体" w:eastAsia="楷体"/>
          <w:b/>
          <w:bCs/>
          <w:color w:val="000000" w:themeColor="text1"/>
          <w14:textFill>
            <w14:solidFill>
              <w14:schemeClr w14:val="tx1"/>
            </w14:solidFill>
          </w14:textFill>
        </w:rPr>
        <w:t>畜禽养殖：生猪期价延续弱势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节前期现持续背离带动基差持续走强，或主要源于两个方面的原因，其一是原料成本端特别是蛋白粕持续下跌，其二是市场担心春节后季节性淡季生猪价格的表现。考虑到春节长假期间外盘大豆与玉米期价持续下行，而节后生猪现货已出现冲高回落，在这种情况下，市场预期或需要等待季节性低点出现之后才会有所改观。因此我们维持中性观点，建议投资者继续观望为宜，等待现货止跌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分析市场可以看出，节前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养殖户淘汰积极性持续较高。考虑到节后现货已季节性回落，再加上春节长假期间外盘大豆与玉米期价持续下跌，维持中性观点，建议暂以观望为宜，等待现货季节性低点出现后，视现货与基差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39" w:name="_Toc10010"/>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18375"/>
      <w:r>
        <w:rPr>
          <w:rFonts w:hint="eastAsia" w:ascii="Times New Roman" w:hAnsi="Times New Roman" w:eastAsia="楷体"/>
          <w:b/>
          <w:color w:val="000000" w:themeColor="text1"/>
          <w:sz w:val="24"/>
          <w:szCs w:val="24"/>
          <w14:textFill>
            <w14:solidFill>
              <w14:schemeClr w14:val="tx1"/>
            </w14:solidFill>
          </w14:textFill>
        </w:rPr>
        <w:t>集运指数（欧线）：船司运费下调春节后进入淡季，EC走势渐弱</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红海局势方面冲突持续，船舶绕行比例以上升至74%，但长期看供过于求基本面并未改变。据克拉克森统计，2024年全年集运新增运力预估为9.47%，全年看运价上方压力较大。</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看，马士基率先更新第9周和第10周的即期报价，较节前运价跌幅显著。根据周期性，春节长假后，运力供给的恢复一般较快，而工厂开工、货运需求则缓慢提升。因此周期性因素拖动EC转弱势，震荡区间约为1900至2200点。</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9667"/>
      <w:bookmarkStart w:id="42" w:name="_Toc12779"/>
      <w:bookmarkStart w:id="43" w:name="_Toc72481108"/>
      <w:bookmarkStart w:id="44" w:name="_Toc98426751"/>
      <w:bookmarkStart w:id="45" w:name="_Toc71212556"/>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2024年2月22日星期四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2056595D"/>
    <w:rsid w:val="20AE4DE8"/>
    <w:rsid w:val="21194658"/>
    <w:rsid w:val="216834DE"/>
    <w:rsid w:val="21996AC1"/>
    <w:rsid w:val="219F3EE2"/>
    <w:rsid w:val="21F57098"/>
    <w:rsid w:val="22BB5089"/>
    <w:rsid w:val="24321B2E"/>
    <w:rsid w:val="244B21DE"/>
    <w:rsid w:val="247F3074"/>
    <w:rsid w:val="24B82D9D"/>
    <w:rsid w:val="258A2E5C"/>
    <w:rsid w:val="25B924F3"/>
    <w:rsid w:val="25E06B30"/>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5ED40954"/>
    <w:rsid w:val="60BE22C5"/>
    <w:rsid w:val="619A2BBF"/>
    <w:rsid w:val="61DF02D0"/>
    <w:rsid w:val="62710E5F"/>
    <w:rsid w:val="63735B47"/>
    <w:rsid w:val="63FF1EA7"/>
    <w:rsid w:val="64C32497"/>
    <w:rsid w:val="669D0EEA"/>
    <w:rsid w:val="66C861F9"/>
    <w:rsid w:val="66D04BBC"/>
    <w:rsid w:val="67655BF9"/>
    <w:rsid w:val="67C6389B"/>
    <w:rsid w:val="685D4EEE"/>
    <w:rsid w:val="68AE1587"/>
    <w:rsid w:val="68D53E8D"/>
    <w:rsid w:val="6A194855"/>
    <w:rsid w:val="6B292599"/>
    <w:rsid w:val="6E133456"/>
    <w:rsid w:val="6ECB7DD2"/>
    <w:rsid w:val="6FE61065"/>
    <w:rsid w:val="70675779"/>
    <w:rsid w:val="713E0334"/>
    <w:rsid w:val="716F5E64"/>
    <w:rsid w:val="72417AFE"/>
    <w:rsid w:val="729B5F03"/>
    <w:rsid w:val="72D92B78"/>
    <w:rsid w:val="72F62A89"/>
    <w:rsid w:val="737357AF"/>
    <w:rsid w:val="74163BE4"/>
    <w:rsid w:val="75292EAC"/>
    <w:rsid w:val="755A5FEF"/>
    <w:rsid w:val="75775016"/>
    <w:rsid w:val="758E0106"/>
    <w:rsid w:val="7626762C"/>
    <w:rsid w:val="778F5135"/>
    <w:rsid w:val="77D54B08"/>
    <w:rsid w:val="784F7772"/>
    <w:rsid w:val="78713929"/>
    <w:rsid w:val="78E55995"/>
    <w:rsid w:val="79267C0B"/>
    <w:rsid w:val="79C90FB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2024-02-22T02:50:28Z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