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_Toc28616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_Toc6276 </w:instrText>
          </w:r>
          <w:r>
            <w:rPr>
              <w:bCs/>
            </w:rPr>
            <w:fldChar w:fldCharType="separate"/>
          </w:r>
          <w:r>
            <w:rPr>
              <w:rFonts w:hint="eastAsia" w:ascii="Times New Roman" w:hAnsi="Times New Roman" w:eastAsia="楷体"/>
              <w:szCs w:val="24"/>
            </w:rPr>
            <w:t>股指：短线观望为主，中线在贴水加持下可考虑逐步低吸</w:t>
          </w:r>
          <w:r>
            <w:rPr>
              <w:bCs/>
            </w:rPr>
            <w:fldChar w:fldCharType="end"/>
          </w:r>
        </w:p>
        <w:p>
          <w:pPr>
            <w:pStyle w:val="59"/>
            <w:tabs>
              <w:tab w:val="right" w:leader="dot" w:pos="8306"/>
            </w:tabs>
          </w:pPr>
          <w:r>
            <w:rPr>
              <w:bCs/>
            </w:rPr>
            <w:fldChar w:fldCharType="begin"/>
          </w:r>
          <w:r>
            <w:rPr>
              <w:bCs/>
            </w:rPr>
            <w:instrText xml:space="preserve"> HYPERLINK \l _Toc8151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_Toc10172 </w:instrText>
          </w:r>
          <w:r>
            <w:rPr>
              <w:bCs/>
            </w:rPr>
            <w:fldChar w:fldCharType="separate"/>
          </w:r>
          <w:r>
            <w:rPr>
              <w:rFonts w:hint="eastAsia" w:ascii="Times New Roman" w:hAnsi="Times New Roman" w:eastAsia="楷体"/>
              <w:szCs w:val="24"/>
            </w:rPr>
            <w:t>贵金属：静待美国PMI数据公布，贵金属价格小幅下跌</w:t>
          </w:r>
          <w:r>
            <w:rPr>
              <w:bCs/>
            </w:rPr>
            <w:fldChar w:fldCharType="end"/>
          </w:r>
        </w:p>
        <w:p>
          <w:pPr>
            <w:pStyle w:val="59"/>
            <w:tabs>
              <w:tab w:val="right" w:leader="dot" w:pos="8306"/>
            </w:tabs>
          </w:pPr>
          <w:r>
            <w:rPr>
              <w:bCs/>
            </w:rPr>
            <w:fldChar w:fldCharType="begin"/>
          </w:r>
          <w:r>
            <w:rPr>
              <w:bCs/>
            </w:rPr>
            <w:instrText xml:space="preserve"> HYPERLINK \l _Toc3874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_Toc4514 </w:instrText>
          </w:r>
          <w:r>
            <w:rPr>
              <w:bCs/>
            </w:rPr>
            <w:fldChar w:fldCharType="separate"/>
          </w:r>
          <w:r>
            <w:rPr>
              <w:rFonts w:hint="eastAsia" w:ascii="楷体" w:hAnsi="楷体" w:eastAsia="楷体"/>
              <w:szCs w:val="24"/>
            </w:rPr>
            <w:t>碳酸锂：现货价格持平，期价小幅反弹</w:t>
          </w:r>
          <w:r>
            <w:rPr>
              <w:bCs/>
            </w:rPr>
            <w:fldChar w:fldCharType="end"/>
          </w:r>
        </w:p>
        <w:p>
          <w:pPr>
            <w:pStyle w:val="74"/>
            <w:tabs>
              <w:tab w:val="right" w:leader="dot" w:pos="8306"/>
            </w:tabs>
          </w:pPr>
          <w:r>
            <w:rPr>
              <w:bCs/>
            </w:rPr>
            <w:fldChar w:fldCharType="begin"/>
          </w:r>
          <w:r>
            <w:rPr>
              <w:bCs/>
            </w:rPr>
            <w:instrText xml:space="preserve"> HYPERLINK \l _Toc32317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_Toc16779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_Toc27634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_Toc8382 </w:instrText>
          </w:r>
          <w:r>
            <w:rPr>
              <w:bCs/>
            </w:rPr>
            <w:fldChar w:fldCharType="separate"/>
          </w:r>
          <w:r>
            <w:rPr>
              <w:rFonts w:hint="eastAsia" w:ascii="楷体" w:hAnsi="楷体" w:eastAsia="楷体"/>
              <w:szCs w:val="24"/>
            </w:rPr>
            <w:t>铜：价格下跌后偏稳运行</w:t>
          </w:r>
          <w:r>
            <w:rPr>
              <w:bCs/>
            </w:rPr>
            <w:fldChar w:fldCharType="end"/>
          </w:r>
        </w:p>
        <w:p>
          <w:pPr>
            <w:pStyle w:val="74"/>
            <w:tabs>
              <w:tab w:val="right" w:leader="dot" w:pos="8306"/>
            </w:tabs>
          </w:pPr>
          <w:r>
            <w:rPr>
              <w:bCs/>
            </w:rPr>
            <w:fldChar w:fldCharType="begin"/>
          </w:r>
          <w:r>
            <w:rPr>
              <w:bCs/>
            </w:rPr>
            <w:instrText xml:space="preserve"> HYPERLINK \l _Toc29573 </w:instrText>
          </w:r>
          <w:r>
            <w:rPr>
              <w:bCs/>
            </w:rPr>
            <w:fldChar w:fldCharType="separate"/>
          </w:r>
          <w:r>
            <w:rPr>
              <w:rFonts w:hint="eastAsia" w:ascii="楷体" w:hAnsi="楷体" w:eastAsia="楷体"/>
              <w:szCs w:val="24"/>
            </w:rPr>
            <w:t>铝：铝价反弹修复</w:t>
          </w:r>
          <w:r>
            <w:rPr>
              <w:bCs/>
            </w:rPr>
            <w:fldChar w:fldCharType="end"/>
          </w:r>
        </w:p>
        <w:p>
          <w:pPr>
            <w:pStyle w:val="74"/>
            <w:tabs>
              <w:tab w:val="right" w:leader="dot" w:pos="8306"/>
            </w:tabs>
          </w:pPr>
          <w:r>
            <w:rPr>
              <w:bCs/>
            </w:rPr>
            <w:fldChar w:fldCharType="begin"/>
          </w:r>
          <w:r>
            <w:rPr>
              <w:bCs/>
            </w:rPr>
            <w:instrText xml:space="preserve"> HYPERLINK \l _Toc16415 </w:instrText>
          </w:r>
          <w:r>
            <w:rPr>
              <w:bCs/>
            </w:rPr>
            <w:fldChar w:fldCharType="separate"/>
          </w:r>
          <w:r>
            <w:rPr>
              <w:rFonts w:hint="eastAsia" w:ascii="楷体" w:hAnsi="楷体" w:eastAsia="楷体"/>
              <w:szCs w:val="24"/>
            </w:rPr>
            <w:t>锌：锌价易涨难跌</w:t>
          </w:r>
          <w:r>
            <w:rPr>
              <w:bCs/>
            </w:rPr>
            <w:fldChar w:fldCharType="end"/>
          </w:r>
        </w:p>
        <w:p>
          <w:pPr>
            <w:pStyle w:val="74"/>
            <w:tabs>
              <w:tab w:val="right" w:leader="dot" w:pos="8306"/>
            </w:tabs>
          </w:pPr>
          <w:r>
            <w:rPr>
              <w:bCs/>
            </w:rPr>
            <w:fldChar w:fldCharType="begin"/>
          </w:r>
          <w:r>
            <w:rPr>
              <w:bCs/>
            </w:rPr>
            <w:instrText xml:space="preserve"> HYPERLINK \l _Toc567 </w:instrText>
          </w:r>
          <w:r>
            <w:rPr>
              <w:bCs/>
            </w:rPr>
            <w:fldChar w:fldCharType="separate"/>
          </w:r>
          <w:r>
            <w:rPr>
              <w:rFonts w:hint="eastAsia" w:ascii="楷体" w:hAnsi="楷体" w:eastAsia="楷体"/>
              <w:szCs w:val="24"/>
            </w:rPr>
            <w:t>镍：短期内上下驱动皆有限</w:t>
          </w:r>
          <w:r>
            <w:rPr>
              <w:bCs/>
            </w:rPr>
            <w:fldChar w:fldCharType="end"/>
          </w:r>
        </w:p>
        <w:p>
          <w:pPr>
            <w:pStyle w:val="74"/>
            <w:tabs>
              <w:tab w:val="right" w:leader="dot" w:pos="8306"/>
            </w:tabs>
          </w:pPr>
          <w:r>
            <w:rPr>
              <w:bCs/>
            </w:rPr>
            <w:fldChar w:fldCharType="begin"/>
          </w:r>
          <w:r>
            <w:rPr>
              <w:bCs/>
            </w:rPr>
            <w:instrText xml:space="preserve"> HYPERLINK \l _Toc8235 </w:instrText>
          </w:r>
          <w:r>
            <w:rPr>
              <w:bCs/>
            </w:rPr>
            <w:fldChar w:fldCharType="separate"/>
          </w:r>
          <w:r>
            <w:rPr>
              <w:rFonts w:hint="eastAsia" w:ascii="楷体" w:hAnsi="楷体" w:eastAsia="楷体"/>
              <w:szCs w:val="24"/>
            </w:rPr>
            <w:t>不锈钢：供需趋弱压制，不锈钢价反弹空间有限</w:t>
          </w:r>
          <w:r>
            <w:rPr>
              <w:bCs/>
            </w:rPr>
            <w:fldChar w:fldCharType="end"/>
          </w:r>
        </w:p>
        <w:p>
          <w:pPr>
            <w:pStyle w:val="74"/>
            <w:tabs>
              <w:tab w:val="right" w:leader="dot" w:pos="8306"/>
            </w:tabs>
          </w:pPr>
          <w:r>
            <w:rPr>
              <w:bCs/>
            </w:rPr>
            <w:fldChar w:fldCharType="begin"/>
          </w:r>
          <w:r>
            <w:rPr>
              <w:bCs/>
            </w:rPr>
            <w:instrText xml:space="preserve"> HYPERLINK \l _Toc17863 </w:instrText>
          </w:r>
          <w:r>
            <w:rPr>
              <w:bCs/>
            </w:rPr>
            <w:fldChar w:fldCharType="separate"/>
          </w:r>
          <w:r>
            <w:rPr>
              <w:rFonts w:hint="eastAsia" w:ascii="楷体" w:hAnsi="楷体" w:eastAsia="楷体"/>
              <w:szCs w:val="24"/>
            </w:rPr>
            <w:t>工业硅：下游备货基本完成，盘面或震荡运行</w:t>
          </w:r>
          <w:r>
            <w:rPr>
              <w:bCs/>
            </w:rPr>
            <w:fldChar w:fldCharType="end"/>
          </w:r>
        </w:p>
        <w:p>
          <w:pPr>
            <w:pStyle w:val="59"/>
            <w:tabs>
              <w:tab w:val="right" w:leader="dot" w:pos="8306"/>
            </w:tabs>
          </w:pPr>
          <w:r>
            <w:rPr>
              <w:bCs/>
            </w:rPr>
            <w:fldChar w:fldCharType="begin"/>
          </w:r>
          <w:r>
            <w:rPr>
              <w:bCs/>
            </w:rPr>
            <w:instrText xml:space="preserve"> HYPERLINK \l _Toc4602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_Toc1019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供应利好传导逻辑消化 胶价下测底部支撑位</w:t>
          </w:r>
          <w:r>
            <w:rPr>
              <w:bCs/>
            </w:rPr>
            <w:fldChar w:fldCharType="end"/>
          </w:r>
        </w:p>
        <w:p>
          <w:pPr>
            <w:pStyle w:val="74"/>
            <w:tabs>
              <w:tab w:val="right" w:leader="dot" w:pos="8306"/>
            </w:tabs>
          </w:pPr>
          <w:r>
            <w:rPr>
              <w:bCs/>
            </w:rPr>
            <w:fldChar w:fldCharType="begin"/>
          </w:r>
          <w:r>
            <w:rPr>
              <w:bCs/>
            </w:rPr>
            <w:instrText xml:space="preserve"> HYPERLINK \l _Toc16668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受成本端及下游补库趋势偏强</w:t>
          </w:r>
          <w:r>
            <w:rPr>
              <w:bCs/>
            </w:rPr>
            <w:fldChar w:fldCharType="end"/>
          </w:r>
        </w:p>
        <w:p>
          <w:pPr>
            <w:pStyle w:val="74"/>
            <w:tabs>
              <w:tab w:val="right" w:leader="dot" w:pos="8306"/>
            </w:tabs>
          </w:pPr>
          <w:r>
            <w:rPr>
              <w:bCs/>
            </w:rPr>
            <w:fldChar w:fldCharType="begin"/>
          </w:r>
          <w:r>
            <w:rPr>
              <w:bCs/>
            </w:rPr>
            <w:instrText xml:space="preserve"> HYPERLINK \l _Toc19323 </w:instrText>
          </w:r>
          <w:r>
            <w:rPr>
              <w:bCs/>
            </w:rPr>
            <w:fldChar w:fldCharType="separate"/>
          </w:r>
          <w:r>
            <w:rPr>
              <w:rFonts w:hint="eastAsia" w:ascii="楷体" w:hAnsi="楷体" w:eastAsia="楷体"/>
              <w:szCs w:val="24"/>
            </w:rPr>
            <w:t>聚烯烃：平衡表偏去库 短期聚烯烃下方空间有限</w:t>
          </w:r>
          <w:r>
            <w:rPr>
              <w:bCs/>
            </w:rPr>
            <w:fldChar w:fldCharType="end"/>
          </w:r>
        </w:p>
        <w:p>
          <w:pPr>
            <w:pStyle w:val="74"/>
            <w:tabs>
              <w:tab w:val="right" w:leader="dot" w:pos="8306"/>
            </w:tabs>
          </w:pPr>
          <w:r>
            <w:rPr>
              <w:bCs/>
            </w:rPr>
            <w:fldChar w:fldCharType="begin"/>
          </w:r>
          <w:r>
            <w:rPr>
              <w:bCs/>
            </w:rPr>
            <w:instrText xml:space="preserve"> HYPERLINK \l _Toc13706 </w:instrText>
          </w:r>
          <w:r>
            <w:rPr>
              <w:bCs/>
            </w:rPr>
            <w:fldChar w:fldCharType="separate"/>
          </w:r>
          <w:r>
            <w:rPr>
              <w:rFonts w:hint="eastAsia" w:ascii="楷体" w:hAnsi="楷体" w:eastAsia="楷体"/>
              <w:szCs w:val="24"/>
            </w:rPr>
            <w:t>MEG：超季节去库及下游补库 乙二醇仍偏多配</w:t>
          </w:r>
          <w:r>
            <w:rPr>
              <w:bCs/>
            </w:rPr>
            <w:fldChar w:fldCharType="end"/>
          </w:r>
        </w:p>
        <w:p>
          <w:pPr>
            <w:pStyle w:val="74"/>
            <w:tabs>
              <w:tab w:val="right" w:leader="dot" w:pos="8306"/>
            </w:tabs>
          </w:pPr>
          <w:r>
            <w:rPr>
              <w:bCs/>
            </w:rPr>
            <w:fldChar w:fldCharType="begin"/>
          </w:r>
          <w:r>
            <w:rPr>
              <w:bCs/>
            </w:rPr>
            <w:instrText xml:space="preserve"> HYPERLINK \l _Toc12423 </w:instrText>
          </w:r>
          <w:r>
            <w:rPr>
              <w:bCs/>
            </w:rPr>
            <w:fldChar w:fldCharType="separate"/>
          </w:r>
          <w:r>
            <w:rPr>
              <w:rFonts w:hint="eastAsia" w:ascii="楷体" w:hAnsi="楷体" w:eastAsia="楷体"/>
              <w:szCs w:val="24"/>
            </w:rPr>
            <w:t>玻璃：深加工终端需求走弱，节前震荡行情</w:t>
          </w:r>
          <w:r>
            <w:rPr>
              <w:bCs/>
            </w:rPr>
            <w:fldChar w:fldCharType="end"/>
          </w:r>
        </w:p>
        <w:p>
          <w:pPr>
            <w:pStyle w:val="74"/>
            <w:tabs>
              <w:tab w:val="right" w:leader="dot" w:pos="8306"/>
            </w:tabs>
          </w:pPr>
          <w:r>
            <w:rPr>
              <w:bCs/>
            </w:rPr>
            <w:fldChar w:fldCharType="begin"/>
          </w:r>
          <w:r>
            <w:rPr>
              <w:bCs/>
            </w:rPr>
            <w:instrText xml:space="preserve"> HYPERLINK \l _Toc22025 </w:instrText>
          </w:r>
          <w:r>
            <w:rPr>
              <w:bCs/>
            </w:rPr>
            <w:fldChar w:fldCharType="separate"/>
          </w:r>
          <w:r>
            <w:rPr>
              <w:rFonts w:hint="eastAsia" w:ascii="楷体" w:hAnsi="楷体" w:eastAsia="楷体"/>
              <w:szCs w:val="24"/>
            </w:rPr>
            <w:t>纯碱：碱厂挺价，宽幅震荡</w:t>
          </w:r>
          <w:r>
            <w:rPr>
              <w:bCs/>
            </w:rPr>
            <w:fldChar w:fldCharType="end"/>
          </w:r>
        </w:p>
        <w:p>
          <w:pPr>
            <w:pStyle w:val="59"/>
            <w:tabs>
              <w:tab w:val="right" w:leader="dot" w:pos="8306"/>
            </w:tabs>
          </w:pPr>
          <w:r>
            <w:rPr>
              <w:bCs/>
            </w:rPr>
            <w:fldChar w:fldCharType="begin"/>
          </w:r>
          <w:r>
            <w:rPr>
              <w:bCs/>
            </w:rPr>
            <w:instrText xml:space="preserve"> HYPERLINK \l _Toc7239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_Toc30379 </w:instrText>
          </w:r>
          <w:r>
            <w:rPr>
              <w:bCs/>
            </w:rPr>
            <w:fldChar w:fldCharType="separate"/>
          </w:r>
          <w:r>
            <w:rPr>
              <w:rFonts w:hint="eastAsia" w:ascii="楷体" w:hAnsi="楷体" w:eastAsia="楷体"/>
              <w:szCs w:val="24"/>
            </w:rPr>
            <w:t>豆粕/菜粕：跟随美豆小幅反弹，但涨幅预计受限</w:t>
          </w:r>
          <w:r>
            <w:rPr>
              <w:bCs/>
            </w:rPr>
            <w:fldChar w:fldCharType="end"/>
          </w:r>
        </w:p>
        <w:p>
          <w:pPr>
            <w:pStyle w:val="74"/>
            <w:tabs>
              <w:tab w:val="right" w:leader="dot" w:pos="8306"/>
            </w:tabs>
          </w:pPr>
          <w:r>
            <w:rPr>
              <w:bCs/>
            </w:rPr>
            <w:fldChar w:fldCharType="begin"/>
          </w:r>
          <w:r>
            <w:rPr>
              <w:bCs/>
            </w:rPr>
            <w:instrText xml:space="preserve"> HYPERLINK \l _Toc11219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_Toc7252 </w:instrText>
          </w:r>
          <w:r>
            <w:rPr>
              <w:bCs/>
            </w:rPr>
            <w:fldChar w:fldCharType="separate"/>
          </w:r>
          <w:r>
            <w:rPr>
              <w:rFonts w:hint="eastAsia" w:ascii="楷体" w:hAnsi="楷体" w:eastAsia="楷体"/>
              <w:bCs/>
            </w:rPr>
            <w:t>玉米与淀粉：</w:t>
          </w:r>
          <w:r>
            <w:rPr>
              <w:rFonts w:hint="eastAsia" w:ascii="楷体" w:hAnsi="楷体" w:eastAsia="楷体"/>
            </w:rPr>
            <w:t>期价低位反弹</w:t>
          </w:r>
          <w:r>
            <w:rPr>
              <w:bCs/>
            </w:rPr>
            <w:fldChar w:fldCharType="end"/>
          </w:r>
        </w:p>
        <w:p>
          <w:pPr>
            <w:pStyle w:val="74"/>
            <w:tabs>
              <w:tab w:val="right" w:leader="dot" w:pos="8306"/>
            </w:tabs>
          </w:pPr>
          <w:r>
            <w:rPr>
              <w:bCs/>
            </w:rPr>
            <w:fldChar w:fldCharType="begin"/>
          </w:r>
          <w:r>
            <w:rPr>
              <w:bCs/>
            </w:rPr>
            <w:instrText xml:space="preserve"> HYPERLINK \l _Toc17430 </w:instrText>
          </w:r>
          <w:r>
            <w:rPr>
              <w:bCs/>
            </w:rPr>
            <w:fldChar w:fldCharType="separate"/>
          </w:r>
          <w:r>
            <w:rPr>
              <w:rFonts w:hint="eastAsia" w:ascii="楷体" w:hAnsi="楷体" w:eastAsia="楷体"/>
              <w:bCs/>
            </w:rPr>
            <w:t>畜禽养殖：鸡蛋期价午后反弹</w:t>
          </w:r>
          <w:r>
            <w:rPr>
              <w:bCs/>
            </w:rPr>
            <w:fldChar w:fldCharType="end"/>
          </w:r>
        </w:p>
        <w:p>
          <w:pPr>
            <w:pStyle w:val="59"/>
            <w:tabs>
              <w:tab w:val="right" w:leader="dot" w:pos="8306"/>
            </w:tabs>
          </w:pPr>
          <w:r>
            <w:rPr>
              <w:bCs/>
            </w:rPr>
            <w:fldChar w:fldCharType="begin"/>
          </w:r>
          <w:r>
            <w:rPr>
              <w:bCs/>
            </w:rPr>
            <w:instrText xml:space="preserve"> HYPERLINK \l _Toc9582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_Toc27200 </w:instrText>
          </w:r>
          <w:r>
            <w:rPr>
              <w:bCs/>
            </w:rPr>
            <w:fldChar w:fldCharType="separate"/>
          </w:r>
          <w:r>
            <w:rPr>
              <w:rFonts w:hint="eastAsia" w:ascii="Times New Roman" w:hAnsi="Times New Roman" w:eastAsia="楷体"/>
              <w:szCs w:val="24"/>
            </w:rPr>
            <w:t>集运指数（欧线）：即期运价趋缓期价反弹基差收窄，预计节前或维持震荡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861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627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短线观望为主，中线在贴水加持下可考虑逐步低吸</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指数对中期基本面压力已有所反应，超跌必有反弹，但昨日缩量上涨，市场流动性风险尚未完全出清，需关注托底资金可持续性，尤其量化、雪球等大部分挂钩中小盘，需保持谨慎。短线建议观望为主，中线在深贴水提供安全垫基础上可逐步低多布局。</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8151"/>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0172"/>
      <w:r>
        <w:rPr>
          <w:rFonts w:hint="eastAsia" w:ascii="Times New Roman" w:hAnsi="Times New Roman" w:eastAsia="楷体"/>
          <w:b/>
          <w:color w:val="000000" w:themeColor="text1"/>
          <w:sz w:val="24"/>
          <w:szCs w:val="24"/>
          <w14:textFill>
            <w14:solidFill>
              <w14:schemeClr w14:val="tx1"/>
            </w14:solidFill>
          </w14:textFill>
        </w:rPr>
        <w:t>贵金属：静待美国PMI数据公布，贵金属价格小幅下跌</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0.2%至103.55，美十债收益率涨2.1bp至4.131%。沪金跌0.14%，沪银跌0.69%。2024年美联储票委巴尔金讲话称，美联储3月降息并非不可能，希望看到通货膨胀确信地下行至长期目标，相对不反对适时令利率正常化。美国红皮书商业零售销售同比增5.2%，前值5%。上周美国零售销售月率强于预期，消费端强劲表现提示美国经济维持韧性，降息预期进一步削弱。今日晚间美国将公布1月MarkitPMI景气度数据，周内还将公布美国第四季度GDP、PCE指标，以及12月PCE通胀数据，市场将基于最新经济数据表现调整降息预期，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387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514"/>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碳酸锂：现货价格持平，期价小幅反弹</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现货价格持平，期价偏强运行，07合约涨1.64%至102000元/吨。2023年国内三元材料产量62万吨，同比降5%。海关数据显示，12月国内三元前驱体出口19403吨，环比增7%，同比减18%。Liontown Resources 宣布 Kathleen Valley锂项目按计划将于今年年中实现首次生产；因锂价大幅下跌，推迟其此前公布的每年 400 万吨地下开采工作、调整矿山开采计划。赣锋锂业公告，与韩国现代汽车签署2024-2027年氢氧化锂供货协议。近期部分下游企业进行年前采购，持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32317"/>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16779"/>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763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8382"/>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价格下跌后偏稳运行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据外媒报道，国际铜业研究小组（ICSG）在最新发布的月报中称，2023年11月全球精炼铜市场短缺11.90万吨，10月短缺为4.8万吨。2023年11月全球精炼铜产量为226万吨，消费量为238万吨。ICSG表示，根据中国保税仓库的库存变化进行调整后，11月供应缺口为12.80万吨，10月短缺为7万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(2)库存：1月22日，SHFE仓单库存12055吨，减1502吨；LME仓单库存156750吨，减1125吨。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(3)精废价差：1月22日，Mysteel精废价差1432，扩张30。目前价差在合理价差1380之上。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近期美国经济数据仍具韧性，市场存在降息预期的摆动，需关注月底的FOMC会议。基本面，国内冶炼端TC持续走低，矿端供应紧缩支撑价格，春节前下游仍有一定备货行为，国内库存累积但幅度暂不明显，预计短期铜价偏稳运行，上下空间不大。波动区间参考67500-68500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29573"/>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铝价反弹修复</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情绪支撑偏空，人民币贬值支撑内盘价格。基本面方面，氧化铝再度走强，成本端带动，国内电解铝产量稳定，行业铸锭量环比有所增长，进口利润窗口打开仍有进口铝流入市场，下游消费仍处节前淡季，国内铝锭库存暂维持低位，近期下游节前集中备货动作带动铝锭出库，节前铝锭累库水平不及往年同期。短期来看，铝价上下均有压力，前期价格下跌反弹修复。</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6415"/>
      <w:r>
        <w:rPr>
          <w:rFonts w:hint="eastAsia" w:ascii="楷体" w:hAnsi="楷体" w:eastAsia="楷体"/>
          <w:b/>
          <w:color w:val="000000" w:themeColor="text1"/>
          <w:sz w:val="24"/>
          <w:szCs w:val="24"/>
          <w14:textFill>
            <w14:solidFill>
              <w14:schemeClr w14:val="tx1"/>
            </w14:solidFill>
          </w14:textFill>
        </w:rPr>
        <w:t>锌：锌价易涨难跌</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来看，矿端及冶炼端虽有减产消息扰动，但整体仍维持宽松，TC加工费走弱压榨冶炼端利润，叠加临近假期，部分厂家计划提前放假，需求端疲弱支撑不足，下游企业逢低补库，库存低位去库，锌价下跌空间有限，易涨难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567"/>
      <w:r>
        <w:rPr>
          <w:rFonts w:hint="eastAsia" w:ascii="楷体" w:hAnsi="楷体" w:eastAsia="楷体"/>
          <w:b/>
          <w:color w:val="000000" w:themeColor="text1"/>
          <w:sz w:val="24"/>
          <w:szCs w:val="24"/>
          <w14:textFill>
            <w14:solidFill>
              <w14:schemeClr w14:val="tx1"/>
            </w14:solidFill>
          </w14:textFill>
        </w:rPr>
        <w:t>镍：短期内上下驱动皆有限</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面，印尼镍矿RKAB审批延迟，为镍价带来一定支撑，但印尼矿业协会表示会尽快通过申请；印尼一位副总统候选人对现总统的镍业限制措施表示不赞同，后续继续关注印尼消息扰动。华飞项目检修仍在持续，加上MHP价格已跌破较多企业的成本线，短期内MHP供应预计维持偏紧，其价格偏强运行。镍铁端，近日镍铁价格小幅上涨，但不锈钢厂将进入传统检修期，预计继续上行的空间不大，价格持稳为主。镍维持供应过剩格局，电积镍仍有较多产能新投或扩产。综合而言，印尼镍矿RKAB审批偏慢消息及原料价格上涨为镍价带来支撑，但印尼RKAB影响有限，加上供应过剩格局及累库态势对镍价持续施压，短期内镍价上下驱动皆有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8235"/>
      <w:r>
        <w:rPr>
          <w:rFonts w:hint="eastAsia" w:ascii="楷体" w:hAnsi="楷体" w:eastAsia="楷体"/>
          <w:b/>
          <w:color w:val="000000" w:themeColor="text1"/>
          <w:sz w:val="24"/>
          <w:szCs w:val="24"/>
          <w14:textFill>
            <w14:solidFill>
              <w14:schemeClr w14:val="tx1"/>
            </w14:solidFill>
          </w14:textFill>
        </w:rPr>
        <w:t>不锈钢：供需趋弱压制，不锈钢价反弹空间有限</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影响不锈钢价的因素一是印尼镍矿部分RKAB由于行政原因审批延迟，为期价带来支撑，但印尼矿业协会表示将在1月底前继续完成多份申请，因此预计此消息对盘面影响有限；二是近日镍铁价格上涨，不锈钢成本支撑有所走强，但从镍铁供需来看，镍铁厂在亏损状态下持续减产，不锈钢厂排产下降，对镍铁需求将减弱，预计镍铁价格持稳为主；三是供需方面，临近春节，不锈钢厂排产下降，不锈钢供应趋减，下游节前补库节奏已基本完成，加上部分下游企业将检修，不锈钢需求也或趋弱。综合而言，印尼镍矿RKAB消息对盘面影响有限，原料镍铁价格企稳反弹，不锈钢成本支撑有所走强，但供需皆趋弱，社会库存连续两周累库，不锈钢价继续反弹空间有限。</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1786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下游备货基本完成，盘面或震荡运行</w:t>
      </w:r>
      <w:bookmarkEnd w:id="32"/>
    </w:p>
    <w:p>
      <w:pPr>
        <w:ind w:left="630" w:leftChars="300"/>
        <w:rPr>
          <w:rFonts w:ascii="楷体" w:hAnsi="楷体" w:eastAsia="楷体"/>
          <w:sz w:val="24"/>
          <w:szCs w:val="24"/>
        </w:rPr>
      </w:pPr>
      <w:r>
        <w:rPr>
          <w:rFonts w:hint="eastAsia" w:ascii="楷体" w:hAnsi="楷体" w:eastAsia="楷体"/>
          <w:sz w:val="24"/>
          <w:szCs w:val="24"/>
        </w:rPr>
        <w:t>1月23日，Si2403主力合约呈下行走势，收盘价13370元/吨，较上一收盘价涨跌幅-0.37%。春节前下游备货补库已基本完成，市场询价与签约较为清淡，仅少部分企业进行少量按需补库。目前行业开工也处于季节性低位，市场整体处于供需双弱格局，预计盘面或将震荡运行。策略上，建议维持波段操作，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4602"/>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101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供应利好传导逻辑消化 胶价下测底部支撑位</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胶价回落，然原料价格持续上涨，成本端下方仍存较强支撑，下游轮胎工厂年前备货青岛库存小幅去库，预计短期天然橡胶仍维持区间震荡。供应方面，泰国产区遭遇病虫害叠加上游加工厂采购原料积极，致使胶水收购价格高位攀升，供应收紧强于预期。库存方面，国内社会库存回升，青岛深色胶即将呈现累库拐点，浅色库存同比去年上升。需求端来看，下游轮胎市场销量走低，工厂生产开工下滑进入淡季，需求牵制，但半钢胎开工生产坚挺，支撑下游需求。整体看，在短时供应利好传导逻辑消化后，胶价或阶段性走弱。</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6668"/>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受成本端及下游补库趋势偏强</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地缘局势不稳定及供应端短线扰动，对盘面继续带来支撑。PX面临宣港及调油逻辑驱动，短线下行压力缓解。PTA方面，本周福海创降负至5成，逸盛海南200万吨重启，个别装置小幅调整负荷，至1.18 PTA装置负荷调整至84%（+0.2%）。本周陆续聚酯装置开始执行检修减产，涉及长丝短纤和切片，综合负荷有所下滑。截至1.18，初步核算国内大陆地区聚酯负荷在89.4%。后市来看，1月PTA装置检修不多，供应端或维持在偏高水平。聚酯库存压力尚可，但随着春节临近，聚酯减产预期增强，终端投机性补库需求不足，聚酯工厂集中在1月中下附近减产和检修量居多。中下旬终端会集中减停产放假，后市有需求季节性走弱预期。综合来看，部分装置公布后期检修计划后2月累库幅度缩减，短期受成本端及聚酯工厂节前补库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19323"/>
      <w:r>
        <w:rPr>
          <w:rFonts w:hint="eastAsia" w:ascii="楷体" w:hAnsi="楷体" w:eastAsia="楷体"/>
          <w:b/>
          <w:color w:val="000000" w:themeColor="text1"/>
          <w:sz w:val="24"/>
          <w:szCs w:val="24"/>
          <w14:textFill>
            <w14:solidFill>
              <w14:schemeClr w14:val="tx1"/>
            </w14:solidFill>
          </w14:textFill>
        </w:rPr>
        <w:t>聚烯烃：平衡表偏去库 短期聚烯烃下方空间有限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利比亚最大的油田重启生产，美国原油产量从寒冷天气中逐渐恢复，国际油价下跌。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3706"/>
      <w:r>
        <w:rPr>
          <w:rFonts w:hint="eastAsia" w:ascii="楷体" w:hAnsi="楷体" w:eastAsia="楷体"/>
          <w:b/>
          <w:color w:val="000000" w:themeColor="text1"/>
          <w:sz w:val="24"/>
          <w:szCs w:val="24"/>
          <w14:textFill>
            <w14:solidFill>
              <w14:schemeClr w14:val="tx1"/>
            </w14:solidFill>
          </w14:textFill>
        </w:rPr>
        <w:t>MEG：超季节去库及下游补库 乙二醇仍偏多配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华东主港地区MEG港口库存约93.2万吨附近，环比上期下降4万吨。随着后续到港减少，下周港口库存有望持续去化。截至1月18日，中国大陆地区乙二醇整体开工负荷在65%（+5.3%），其中草酸催化加氢法（合成气）制乙二醇开工负荷在60.81%（+6.98%）。 截至1月18日，国内大陆地区聚酯负荷在89.4%，节前聚酯开工高位维持。终端来看，江浙终端开工率下降加速。截止1.18 江浙加弹综合开工率71%(-11%)，江浙织机综合开工率60%(-13%），江浙印染综合开工率67%（-10%）。综合来看，期价大幅走高带动乙二醇利润快速修复，国内不少乙烯制乙二醇装置供应回归。榆林化学等存量装置开工率大幅提升或对冲外盘缩量，但乙二醇继续超季节去库，短期仍偏多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2423"/>
      <w:r>
        <w:rPr>
          <w:rFonts w:hint="eastAsia" w:ascii="楷体" w:hAnsi="楷体" w:eastAsia="楷体"/>
          <w:b/>
          <w:color w:val="000000" w:themeColor="text1"/>
          <w:sz w:val="24"/>
          <w:szCs w:val="24"/>
          <w14:textFill>
            <w14:solidFill>
              <w14:schemeClr w14:val="tx1"/>
            </w14:solidFill>
          </w14:textFill>
        </w:rPr>
        <w:t>玻璃：深加工终端需求走弱，节前震荡行情</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23日报道:今日浮法玻璃现货价格2019元/吨，较上一交易日-4元/吨。宏观政策刺激不及预期逐步消化。供给上，全国浮法玻璃日产量为17.31万吨，环比持平。库存上，截止到20240118，全国浮法玻璃样本企业总库存3158.6万重箱，环比98.2万重箱，环3.21%，行业再度进入累库;需求端，南方赶工临近尾声，华北节前以清库为主，保价促销，周末沙河地区经销商补库，产销回升，其余地区产销一般，日度综销表现一般。盘面经过前轮价格博弈之后，厂家、贸易商、深加工厂的库存都不高，加上厂家还有保价政策，库存向贸易商转移，向下的空间有限。短期矛盾并不突出，随宏观情绪波动。短线建议观望，中长线建议等待反弹结束高空。</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22025"/>
      <w:r>
        <w:rPr>
          <w:rFonts w:hint="eastAsia" w:ascii="楷体" w:hAnsi="楷体" w:eastAsia="楷体"/>
          <w:b/>
          <w:color w:val="000000" w:themeColor="text1"/>
          <w:sz w:val="24"/>
          <w:szCs w:val="24"/>
          <w14:textFill>
            <w14:solidFill>
              <w14:schemeClr w14:val="tx1"/>
            </w14:solidFill>
          </w14:textFill>
        </w:rPr>
        <w:t>纯碱：碱厂挺价，宽幅震荡</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价格企稳反弹。西北青海地区重碱报价2200元/吨(环比+200元/吨);华北重碱最低价2350-2400元/吨(低价+50)。供给方面，截至20240118，周纯碱产量70.12万吨，涨幅1.44%，但本周由于部分碱厂短停的原因，产量下滑至67万吨附近:周内纯碱厂家库存43.81万吨，环比+1.22万吨，涨幅2.86%，本周冬储适量有补库，预计小幅去库。需求端短期碱厂联合封单对轻碱下游的提货积极性有一定刺激作用，重碱保持刚需。碱厂联合挺价叠加下游玻璃经销商开始冬储补库，现货价格经过一个月的下跌后进入震荡期，在库存较低的情况下或出现反复炒作的情况。操作上，短线春节前进入反弹节奏，但中长线供给压力尚在，可等待反弹结束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7239"/>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30379"/>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跟随美豆小幅反弹，但涨幅预计受限</w:t>
      </w:r>
      <w:bookmarkEnd w:id="42"/>
    </w:p>
    <w:p>
      <w:pPr>
        <w:ind w:left="630" w:leftChars="300"/>
        <w:rPr>
          <w:rFonts w:ascii="楷体" w:hAnsi="楷体" w:eastAsia="楷体"/>
          <w:sz w:val="24"/>
          <w:szCs w:val="24"/>
        </w:rPr>
      </w:pPr>
      <w:r>
        <w:rPr>
          <w:rFonts w:hint="eastAsia" w:ascii="楷体" w:hAnsi="楷体" w:eastAsia="楷体"/>
          <w:sz w:val="24"/>
          <w:szCs w:val="24"/>
        </w:rPr>
        <w:t>因上周触及多年低点后涌现技术性买盘和空头回补，阿根廷天气可能变得干燥，且巴西大豆产量规模仍存在不确定性，支撑CBOT大豆反弹，但需求低迷仍限制涨幅。当前市场定价中心集中在南美，巴西近期产区降水持续改善，叠加阿根廷种植情况良好，提振南美大豆供应前景，但早期因干旱影响，多家机构下调巴西大豆产量，产量规模仍存不确定性。当前随着巴西收获逐步开启，美豆也面临巴西新作大豆的供应挤压，巴西近月贴水持续下调，进口成本重心下移。国内豆粕延续供强需弱格局，供应端较充裕，随着进口大豆到港增加，油厂大豆库存持续增加，但因下游需求疲软，油厂开机率偏低，部分地区存胀库风险，豆粕库存处于同期偏高水平94.89万吨，当前沿海主流油厂豆粕现货报价下调至3400-3440元/吨。12月份进口大豆到港环比增加，为982.3万吨，叠加远月买船进度偏慢，远月供应端担忧仍存。需求，下游生猪养殖利润维持亏损，但在能繁存栏高位下，下游随采随用保持安全库存，整体需求未见明显起色。菜粕供应趋于宽松。在11月份后随着菜籽进口增加，菜粕供应转宽，目前菜籽库存以及油厂开机均有明显提升。而需求方面，随着水产消费旺季的结束，菜粕刚需减少，但在豆菜粕价差较大下提振菜粕的替代需求。策略方面，预计维持偏弱运行，建议豆粕逢高偏空操作，05合约3000支撑较强，菜粕跟随豆粕偏弱运行，供应压力下建议短线逢高偏空操作。</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121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725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期价低位反弹</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中储粮增储政策落地，总体表现喜忧参半，其公布的收购价低于当时深加工企业收购价，众所周知，其收购质量标准高于市场，这使得其对市场价格几无支撑，甚至有加速下跌之嫌。但由于其收购后有可能降低当年市场供应，使得期价远月对近月升水扩大，这一期价结构有望刺激中下游入市做库存。在这种情况下，接下来需要继续关注市场供需博弈的边际变动，特别是余粮压力的释放，直观表现在产区现货上。综上所述，维持中性观点，建议投资者暂以观望为宜，待现货止跌后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再度走扩，主要源于两个方面，一方面是行业供需近期继续改善，另一方面则是现货基差支撑依然存在。接下来重点留意两个方面，其一是原料成本即玉米现货，包括华北-东北玉米价差走势；其二是副产品价格，因近期仔猪价格上涨，或带动饲料原料需求改善，且近期副产品有止跌企稳迹象。在这种情况下，我们维持中性观点，建议投资单边暂以观望为宜，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7430"/>
      <w:r>
        <w:rPr>
          <w:rFonts w:hint="eastAsia" w:ascii="楷体" w:hAnsi="楷体" w:eastAsia="楷体"/>
          <w:b/>
          <w:bCs/>
          <w:color w:val="000000" w:themeColor="text1"/>
          <w14:textFill>
            <w14:solidFill>
              <w14:schemeClr w14:val="tx1"/>
            </w14:solidFill>
          </w14:textFill>
        </w:rPr>
        <w:t>畜禽养殖：鸡蛋期价午后反弹</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综合来看，从大方向来看，我们维持谨慎看空观点，但春节前或存在短期季节性需求的支撑，期价或转为震荡反弹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9582"/>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7200"/>
      <w:r>
        <w:rPr>
          <w:rFonts w:hint="eastAsia" w:ascii="Times New Roman" w:hAnsi="Times New Roman" w:eastAsia="楷体"/>
          <w:b/>
          <w:color w:val="000000" w:themeColor="text1"/>
          <w:sz w:val="24"/>
          <w:szCs w:val="24"/>
          <w14:textFill>
            <w14:solidFill>
              <w14:schemeClr w14:val="tx1"/>
            </w14:solidFill>
          </w14:textFill>
        </w:rPr>
        <w:t>集运指数（欧线）：即期运价趋缓期价反弹基差收窄，预计节前或维持震荡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期货市场对地缘危机影响有所钝化。各大船公司多已决定长期绕行好望角，目前红海关注点演变为美国英国等军事力量与也门胡塞武装的冲突。因此目前对供应链造成的边际冲击的深度有限。需求方面，春节前出货潮在出口美国较欧洲明显，且中国工厂预期要春节后才陆续复工，欧洲线绕行船舶将在2月下旬陆续返回亚洲，对即期运价有所压制。</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红海事态若无进一步扩大外溢，运价将从情绪面回归至基本面，EC价格跟随SCFIS而有所反弹，但SCFI显示即期运价趋缓，因此短期或呈现震荡走势，建议投资者谨慎进行区间交易。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9667"/>
      <w:bookmarkStart w:id="49" w:name="_Toc12779"/>
      <w:bookmarkStart w:id="50" w:name="_Toc98426751"/>
      <w:bookmarkStart w:id="51" w:name="_Toc71212556"/>
      <w:bookmarkStart w:id="52" w:name="_Toc72481108"/>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2024年1月24日星期三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8EC5960"/>
    <w:rsid w:val="59151C86"/>
    <w:rsid w:val="59C52328"/>
    <w:rsid w:val="5AD37D8A"/>
    <w:rsid w:val="5B906095"/>
    <w:rsid w:val="5BF60A75"/>
    <w:rsid w:val="5C9F2D01"/>
    <w:rsid w:val="5D5617A6"/>
    <w:rsid w:val="5EA23F15"/>
    <w:rsid w:val="5EA7685B"/>
    <w:rsid w:val="619A2BBF"/>
    <w:rsid w:val="61DF02D0"/>
    <w:rsid w:val="62710E5F"/>
    <w:rsid w:val="63735B47"/>
    <w:rsid w:val="63FF1EA7"/>
    <w:rsid w:val="64C32497"/>
    <w:rsid w:val="66C861F9"/>
    <w:rsid w:val="66D04BBC"/>
    <w:rsid w:val="67655BF9"/>
    <w:rsid w:val="67C6389B"/>
    <w:rsid w:val="685D4EEE"/>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BCC4162"/>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2024-01-24T02:55:13Z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