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_Toc6867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_Toc18642 </w:instrText>
          </w:r>
          <w:r>
            <w:rPr>
              <w:bCs/>
            </w:rPr>
            <w:fldChar w:fldCharType="separate"/>
          </w:r>
          <w:r>
            <w:rPr>
              <w:rFonts w:hint="eastAsia" w:ascii="Times New Roman" w:hAnsi="Times New Roman" w:eastAsia="楷体"/>
              <w:szCs w:val="24"/>
            </w:rPr>
            <w:t>股指：观望为主</w:t>
          </w:r>
          <w:r>
            <w:rPr>
              <w:bCs/>
            </w:rPr>
            <w:fldChar w:fldCharType="end"/>
          </w:r>
        </w:p>
        <w:p>
          <w:pPr>
            <w:pStyle w:val="59"/>
            <w:tabs>
              <w:tab w:val="right" w:leader="dot" w:pos="8306"/>
            </w:tabs>
          </w:pPr>
          <w:r>
            <w:rPr>
              <w:bCs/>
            </w:rPr>
            <w:fldChar w:fldCharType="begin"/>
          </w:r>
          <w:r>
            <w:rPr>
              <w:bCs/>
            </w:rPr>
            <w:instrText xml:space="preserve"> HYPERLINK \l _Toc11620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_Toc2927 </w:instrText>
          </w:r>
          <w:r>
            <w:rPr>
              <w:bCs/>
            </w:rPr>
            <w:fldChar w:fldCharType="separate"/>
          </w:r>
          <w:r>
            <w:rPr>
              <w:rFonts w:hint="eastAsia" w:ascii="Times New Roman" w:hAnsi="Times New Roman" w:eastAsia="楷体"/>
              <w:szCs w:val="24"/>
            </w:rPr>
            <w:t>贵金属：美国初请失业金人数下行，贵金属价格小幅上涨</w:t>
          </w:r>
          <w:r>
            <w:rPr>
              <w:bCs/>
            </w:rPr>
            <w:fldChar w:fldCharType="end"/>
          </w:r>
        </w:p>
        <w:p>
          <w:pPr>
            <w:pStyle w:val="59"/>
            <w:tabs>
              <w:tab w:val="right" w:leader="dot" w:pos="8306"/>
            </w:tabs>
          </w:pPr>
          <w:r>
            <w:rPr>
              <w:bCs/>
            </w:rPr>
            <w:fldChar w:fldCharType="begin"/>
          </w:r>
          <w:r>
            <w:rPr>
              <w:bCs/>
            </w:rPr>
            <w:instrText xml:space="preserve"> HYPERLINK \l _Toc1976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_Toc25235 </w:instrText>
          </w:r>
          <w:r>
            <w:rPr>
              <w:bCs/>
            </w:rPr>
            <w:fldChar w:fldCharType="separate"/>
          </w:r>
          <w:r>
            <w:rPr>
              <w:rFonts w:hint="eastAsia" w:ascii="楷体" w:hAnsi="楷体" w:eastAsia="楷体"/>
              <w:szCs w:val="24"/>
            </w:rPr>
            <w:t>碳酸锂：四川地区探明大型锂矿，期价小幅下跌</w:t>
          </w:r>
          <w:r>
            <w:rPr>
              <w:bCs/>
            </w:rPr>
            <w:fldChar w:fldCharType="end"/>
          </w:r>
        </w:p>
        <w:p>
          <w:pPr>
            <w:pStyle w:val="74"/>
            <w:tabs>
              <w:tab w:val="right" w:leader="dot" w:pos="8306"/>
            </w:tabs>
          </w:pPr>
          <w:r>
            <w:rPr>
              <w:bCs/>
            </w:rPr>
            <w:fldChar w:fldCharType="begin"/>
          </w:r>
          <w:r>
            <w:rPr>
              <w:bCs/>
            </w:rPr>
            <w:instrText xml:space="preserve"> HYPERLINK \l _Toc27145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_Toc13824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_Toc27587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_Toc31604 </w:instrText>
          </w:r>
          <w:r>
            <w:rPr>
              <w:bCs/>
            </w:rPr>
            <w:fldChar w:fldCharType="separate"/>
          </w:r>
          <w:r>
            <w:rPr>
              <w:rFonts w:hint="eastAsia" w:ascii="楷体" w:hAnsi="楷体" w:eastAsia="楷体"/>
              <w:szCs w:val="24"/>
            </w:rPr>
            <w:t>铜：维持高位承压运行，短期继续下调空间或有限</w:t>
          </w:r>
          <w:r>
            <w:rPr>
              <w:bCs/>
            </w:rPr>
            <w:fldChar w:fldCharType="end"/>
          </w:r>
        </w:p>
        <w:p>
          <w:pPr>
            <w:pStyle w:val="74"/>
            <w:tabs>
              <w:tab w:val="right" w:leader="dot" w:pos="8306"/>
            </w:tabs>
          </w:pPr>
          <w:r>
            <w:rPr>
              <w:bCs/>
            </w:rPr>
            <w:fldChar w:fldCharType="begin"/>
          </w:r>
          <w:r>
            <w:rPr>
              <w:bCs/>
            </w:rPr>
            <w:instrText xml:space="preserve"> HYPERLINK \l _Toc32670 </w:instrText>
          </w:r>
          <w:r>
            <w:rPr>
              <w:bCs/>
            </w:rPr>
            <w:fldChar w:fldCharType="separate"/>
          </w:r>
          <w:r>
            <w:rPr>
              <w:rFonts w:hint="eastAsia" w:ascii="楷体" w:hAnsi="楷体" w:eastAsia="楷体"/>
              <w:szCs w:val="24"/>
            </w:rPr>
            <w:t>铝：弱向震荡为主</w:t>
          </w:r>
          <w:r>
            <w:rPr>
              <w:bCs/>
            </w:rPr>
            <w:fldChar w:fldCharType="end"/>
          </w:r>
        </w:p>
        <w:p>
          <w:pPr>
            <w:pStyle w:val="74"/>
            <w:tabs>
              <w:tab w:val="right" w:leader="dot" w:pos="8306"/>
            </w:tabs>
          </w:pPr>
          <w:r>
            <w:rPr>
              <w:bCs/>
            </w:rPr>
            <w:fldChar w:fldCharType="begin"/>
          </w:r>
          <w:r>
            <w:rPr>
              <w:bCs/>
            </w:rPr>
            <w:instrText xml:space="preserve"> HYPERLINK \l _Toc18140 </w:instrText>
          </w:r>
          <w:r>
            <w:rPr>
              <w:bCs/>
            </w:rPr>
            <w:fldChar w:fldCharType="separate"/>
          </w:r>
          <w:r>
            <w:rPr>
              <w:rFonts w:hint="eastAsia" w:ascii="楷体" w:hAnsi="楷体" w:eastAsia="楷体"/>
              <w:szCs w:val="24"/>
            </w:rPr>
            <w:t>锌：锌价震荡为主</w:t>
          </w:r>
          <w:r>
            <w:rPr>
              <w:bCs/>
            </w:rPr>
            <w:fldChar w:fldCharType="end"/>
          </w:r>
        </w:p>
        <w:p>
          <w:pPr>
            <w:pStyle w:val="74"/>
            <w:tabs>
              <w:tab w:val="right" w:leader="dot" w:pos="8306"/>
            </w:tabs>
          </w:pPr>
          <w:r>
            <w:rPr>
              <w:bCs/>
            </w:rPr>
            <w:fldChar w:fldCharType="begin"/>
          </w:r>
          <w:r>
            <w:rPr>
              <w:bCs/>
            </w:rPr>
            <w:instrText xml:space="preserve"> HYPERLINK \l _Toc28068 </w:instrText>
          </w:r>
          <w:r>
            <w:rPr>
              <w:bCs/>
            </w:rPr>
            <w:fldChar w:fldCharType="separate"/>
          </w:r>
          <w:r>
            <w:rPr>
              <w:rFonts w:hint="eastAsia" w:ascii="楷体" w:hAnsi="楷体" w:eastAsia="楷体"/>
              <w:szCs w:val="24"/>
            </w:rPr>
            <w:t>镍：短期内上下驱动皆有限</w:t>
          </w:r>
          <w:r>
            <w:rPr>
              <w:bCs/>
            </w:rPr>
            <w:fldChar w:fldCharType="end"/>
          </w:r>
        </w:p>
        <w:p>
          <w:pPr>
            <w:pStyle w:val="74"/>
            <w:tabs>
              <w:tab w:val="right" w:leader="dot" w:pos="8306"/>
            </w:tabs>
          </w:pPr>
          <w:r>
            <w:rPr>
              <w:bCs/>
            </w:rPr>
            <w:fldChar w:fldCharType="begin"/>
          </w:r>
          <w:r>
            <w:rPr>
              <w:bCs/>
            </w:rPr>
            <w:instrText xml:space="preserve"> HYPERLINK \l _Toc23735 </w:instrText>
          </w:r>
          <w:r>
            <w:rPr>
              <w:bCs/>
            </w:rPr>
            <w:fldChar w:fldCharType="separate"/>
          </w:r>
          <w:r>
            <w:rPr>
              <w:rFonts w:hint="eastAsia" w:ascii="楷体" w:hAnsi="楷体" w:eastAsia="楷体"/>
              <w:szCs w:val="24"/>
            </w:rPr>
            <w:t>不锈钢：不锈钢价承压运行</w:t>
          </w:r>
          <w:r>
            <w:rPr>
              <w:bCs/>
            </w:rPr>
            <w:fldChar w:fldCharType="end"/>
          </w:r>
        </w:p>
        <w:p>
          <w:pPr>
            <w:pStyle w:val="74"/>
            <w:tabs>
              <w:tab w:val="right" w:leader="dot" w:pos="8306"/>
            </w:tabs>
          </w:pPr>
          <w:r>
            <w:rPr>
              <w:bCs/>
            </w:rPr>
            <w:fldChar w:fldCharType="begin"/>
          </w:r>
          <w:r>
            <w:rPr>
              <w:bCs/>
            </w:rPr>
            <w:instrText xml:space="preserve"> HYPERLINK \l _Toc6762 </w:instrText>
          </w:r>
          <w:r>
            <w:rPr>
              <w:bCs/>
            </w:rPr>
            <w:fldChar w:fldCharType="separate"/>
          </w:r>
          <w:r>
            <w:rPr>
              <w:rFonts w:hint="eastAsia" w:ascii="楷体" w:hAnsi="楷体" w:eastAsia="楷体"/>
              <w:szCs w:val="24"/>
            </w:rPr>
            <w:t>工业硅：现货市场松动，盘面或偏弱运行</w:t>
          </w:r>
          <w:r>
            <w:rPr>
              <w:bCs/>
            </w:rPr>
            <w:fldChar w:fldCharType="end"/>
          </w:r>
        </w:p>
        <w:p>
          <w:pPr>
            <w:pStyle w:val="59"/>
            <w:tabs>
              <w:tab w:val="right" w:leader="dot" w:pos="8306"/>
            </w:tabs>
          </w:pPr>
          <w:r>
            <w:rPr>
              <w:bCs/>
            </w:rPr>
            <w:fldChar w:fldCharType="begin"/>
          </w:r>
          <w:r>
            <w:rPr>
              <w:bCs/>
            </w:rPr>
            <w:instrText xml:space="preserve"> HYPERLINK \l _Toc24827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_Toc27902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泰国病虫害使得供应收紧强于预期 天胶短期或偏强震荡</w:t>
          </w:r>
          <w:r>
            <w:rPr>
              <w:bCs/>
            </w:rPr>
            <w:fldChar w:fldCharType="end"/>
          </w:r>
        </w:p>
        <w:p>
          <w:pPr>
            <w:pStyle w:val="74"/>
            <w:tabs>
              <w:tab w:val="right" w:leader="dot" w:pos="8306"/>
            </w:tabs>
          </w:pPr>
          <w:r>
            <w:rPr>
              <w:bCs/>
            </w:rPr>
            <w:fldChar w:fldCharType="begin"/>
          </w:r>
          <w:r>
            <w:rPr>
              <w:bCs/>
            </w:rPr>
            <w:instrText xml:space="preserve"> HYPERLINK \l _Toc19900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短线跟随成本端波动</w:t>
          </w:r>
          <w:r>
            <w:rPr>
              <w:bCs/>
            </w:rPr>
            <w:fldChar w:fldCharType="end"/>
          </w:r>
        </w:p>
        <w:p>
          <w:pPr>
            <w:pStyle w:val="74"/>
            <w:tabs>
              <w:tab w:val="right" w:leader="dot" w:pos="8306"/>
            </w:tabs>
          </w:pPr>
          <w:r>
            <w:rPr>
              <w:bCs/>
            </w:rPr>
            <w:fldChar w:fldCharType="begin"/>
          </w:r>
          <w:r>
            <w:rPr>
              <w:bCs/>
            </w:rPr>
            <w:instrText xml:space="preserve"> HYPERLINK \l _Toc29020 </w:instrText>
          </w:r>
          <w:r>
            <w:rPr>
              <w:bCs/>
            </w:rPr>
            <w:fldChar w:fldCharType="separate"/>
          </w:r>
          <w:r>
            <w:rPr>
              <w:rFonts w:hint="eastAsia" w:ascii="楷体" w:hAnsi="楷体" w:eastAsia="楷体"/>
              <w:szCs w:val="24"/>
            </w:rPr>
            <w:t>聚烯烃：平衡表偏去库 聚烯烃下方空间有限</w:t>
          </w:r>
          <w:r>
            <w:rPr>
              <w:bCs/>
            </w:rPr>
            <w:fldChar w:fldCharType="end"/>
          </w:r>
        </w:p>
        <w:p>
          <w:pPr>
            <w:pStyle w:val="74"/>
            <w:tabs>
              <w:tab w:val="right" w:leader="dot" w:pos="8306"/>
            </w:tabs>
          </w:pPr>
          <w:r>
            <w:rPr>
              <w:bCs/>
            </w:rPr>
            <w:fldChar w:fldCharType="begin"/>
          </w:r>
          <w:r>
            <w:rPr>
              <w:bCs/>
            </w:rPr>
            <w:instrText xml:space="preserve"> HYPERLINK \l _Toc30814 </w:instrText>
          </w:r>
          <w:r>
            <w:rPr>
              <w:bCs/>
            </w:rPr>
            <w:fldChar w:fldCharType="separate"/>
          </w:r>
          <w:r>
            <w:rPr>
              <w:rFonts w:hint="eastAsia" w:ascii="楷体" w:hAnsi="楷体" w:eastAsia="楷体"/>
              <w:szCs w:val="24"/>
            </w:rPr>
            <w:t>MEG：库存持续去化 乙二醇短线趋势偏强</w:t>
          </w:r>
          <w:r>
            <w:rPr>
              <w:bCs/>
            </w:rPr>
            <w:fldChar w:fldCharType="end"/>
          </w:r>
        </w:p>
        <w:p>
          <w:pPr>
            <w:pStyle w:val="74"/>
            <w:tabs>
              <w:tab w:val="right" w:leader="dot" w:pos="8306"/>
            </w:tabs>
          </w:pPr>
          <w:r>
            <w:rPr>
              <w:bCs/>
            </w:rPr>
            <w:fldChar w:fldCharType="begin"/>
          </w:r>
          <w:r>
            <w:rPr>
              <w:bCs/>
            </w:rPr>
            <w:instrText xml:space="preserve"> HYPERLINK \l _Toc867 </w:instrText>
          </w:r>
          <w:r>
            <w:rPr>
              <w:bCs/>
            </w:rPr>
            <w:fldChar w:fldCharType="separate"/>
          </w:r>
          <w:r>
            <w:rPr>
              <w:rFonts w:hint="eastAsia" w:ascii="楷体" w:hAnsi="楷体" w:eastAsia="楷体"/>
              <w:szCs w:val="24"/>
            </w:rPr>
            <w:t>玻璃：周度累库，弱势震荡行情</w:t>
          </w:r>
          <w:r>
            <w:rPr>
              <w:bCs/>
            </w:rPr>
            <w:fldChar w:fldCharType="end"/>
          </w:r>
        </w:p>
        <w:p>
          <w:pPr>
            <w:pStyle w:val="74"/>
            <w:tabs>
              <w:tab w:val="right" w:leader="dot" w:pos="8306"/>
            </w:tabs>
          </w:pPr>
          <w:r>
            <w:rPr>
              <w:bCs/>
            </w:rPr>
            <w:fldChar w:fldCharType="begin"/>
          </w:r>
          <w:r>
            <w:rPr>
              <w:bCs/>
            </w:rPr>
            <w:instrText xml:space="preserve"> HYPERLINK \l _Toc24869 </w:instrText>
          </w:r>
          <w:r>
            <w:rPr>
              <w:bCs/>
            </w:rPr>
            <w:fldChar w:fldCharType="separate"/>
          </w:r>
          <w:r>
            <w:rPr>
              <w:rFonts w:hint="eastAsia" w:ascii="楷体" w:hAnsi="楷体" w:eastAsia="楷体"/>
              <w:szCs w:val="24"/>
            </w:rPr>
            <w:t>纯碱：累库未改，供给承压</w:t>
          </w:r>
          <w:r>
            <w:rPr>
              <w:bCs/>
            </w:rPr>
            <w:fldChar w:fldCharType="end"/>
          </w:r>
        </w:p>
        <w:p>
          <w:pPr>
            <w:pStyle w:val="59"/>
            <w:tabs>
              <w:tab w:val="right" w:leader="dot" w:pos="8306"/>
            </w:tabs>
          </w:pPr>
          <w:r>
            <w:rPr>
              <w:bCs/>
            </w:rPr>
            <w:fldChar w:fldCharType="begin"/>
          </w:r>
          <w:r>
            <w:rPr>
              <w:bCs/>
            </w:rPr>
            <w:instrText xml:space="preserve"> HYPERLINK \l _Toc28322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_Toc10321 </w:instrText>
          </w:r>
          <w:r>
            <w:rPr>
              <w:bCs/>
            </w:rPr>
            <w:fldChar w:fldCharType="separate"/>
          </w:r>
          <w:r>
            <w:rPr>
              <w:rFonts w:hint="eastAsia" w:ascii="楷体" w:hAnsi="楷体" w:eastAsia="楷体"/>
              <w:szCs w:val="24"/>
            </w:rPr>
            <w:t>豆粕/菜粕：市场情绪悲观，期现价格偏弱运行</w:t>
          </w:r>
          <w:r>
            <w:rPr>
              <w:bCs/>
            </w:rPr>
            <w:fldChar w:fldCharType="end"/>
          </w:r>
        </w:p>
        <w:p>
          <w:pPr>
            <w:pStyle w:val="74"/>
            <w:tabs>
              <w:tab w:val="right" w:leader="dot" w:pos="8306"/>
            </w:tabs>
          </w:pPr>
          <w:r>
            <w:rPr>
              <w:bCs/>
            </w:rPr>
            <w:fldChar w:fldCharType="begin"/>
          </w:r>
          <w:r>
            <w:rPr>
              <w:bCs/>
            </w:rPr>
            <w:instrText xml:space="preserve"> HYPERLINK \l _Toc4479 </w:instrText>
          </w:r>
          <w:r>
            <w:rPr>
              <w:bCs/>
            </w:rPr>
            <w:fldChar w:fldCharType="separate"/>
          </w:r>
          <w:r>
            <w:rPr>
              <w:rFonts w:hint="eastAsia" w:ascii="楷体" w:hAnsi="楷体" w:eastAsia="楷体"/>
              <w:szCs w:val="24"/>
            </w:rPr>
            <w:t>油脂：上行动力不足，震荡整理</w:t>
          </w:r>
          <w:r>
            <w:rPr>
              <w:bCs/>
            </w:rPr>
            <w:fldChar w:fldCharType="end"/>
          </w:r>
        </w:p>
        <w:p>
          <w:pPr>
            <w:pStyle w:val="74"/>
            <w:tabs>
              <w:tab w:val="right" w:leader="dot" w:pos="8306"/>
            </w:tabs>
          </w:pPr>
          <w:r>
            <w:rPr>
              <w:bCs/>
            </w:rPr>
            <w:fldChar w:fldCharType="begin"/>
          </w:r>
          <w:r>
            <w:rPr>
              <w:bCs/>
            </w:rPr>
            <w:instrText xml:space="preserve"> HYPERLINK \l _Toc7479 </w:instrText>
          </w:r>
          <w:r>
            <w:rPr>
              <w:bCs/>
            </w:rPr>
            <w:fldChar w:fldCharType="separate"/>
          </w:r>
          <w:r>
            <w:rPr>
              <w:rFonts w:hint="eastAsia" w:ascii="楷体" w:hAnsi="楷体" w:eastAsia="楷体"/>
              <w:bCs/>
            </w:rPr>
            <w:t>玉米与淀粉：</w:t>
          </w:r>
          <w:r>
            <w:rPr>
              <w:rFonts w:hint="eastAsia" w:ascii="楷体" w:hAnsi="楷体" w:eastAsia="楷体"/>
            </w:rPr>
            <w:t>期价低开高走</w:t>
          </w:r>
          <w:r>
            <w:rPr>
              <w:bCs/>
            </w:rPr>
            <w:fldChar w:fldCharType="end"/>
          </w:r>
        </w:p>
        <w:p>
          <w:pPr>
            <w:pStyle w:val="74"/>
            <w:tabs>
              <w:tab w:val="right" w:leader="dot" w:pos="8306"/>
            </w:tabs>
          </w:pPr>
          <w:r>
            <w:rPr>
              <w:bCs/>
            </w:rPr>
            <w:fldChar w:fldCharType="begin"/>
          </w:r>
          <w:r>
            <w:rPr>
              <w:bCs/>
            </w:rPr>
            <w:instrText xml:space="preserve"> HYPERLINK \l _Toc18040 </w:instrText>
          </w:r>
          <w:r>
            <w:rPr>
              <w:bCs/>
            </w:rPr>
            <w:fldChar w:fldCharType="separate"/>
          </w:r>
          <w:r>
            <w:rPr>
              <w:rFonts w:hint="eastAsia" w:ascii="楷体" w:hAnsi="楷体" w:eastAsia="楷体"/>
              <w:bCs/>
            </w:rPr>
            <w:t>畜禽养殖：现货滞涨带动鸡蛋期价再度大幅下跌</w:t>
          </w:r>
          <w:r>
            <w:rPr>
              <w:bCs/>
            </w:rPr>
            <w:fldChar w:fldCharType="end"/>
          </w:r>
        </w:p>
        <w:p>
          <w:pPr>
            <w:pStyle w:val="59"/>
            <w:tabs>
              <w:tab w:val="right" w:leader="dot" w:pos="8306"/>
            </w:tabs>
          </w:pPr>
          <w:r>
            <w:rPr>
              <w:bCs/>
            </w:rPr>
            <w:fldChar w:fldCharType="begin"/>
          </w:r>
          <w:r>
            <w:rPr>
              <w:bCs/>
            </w:rPr>
            <w:instrText xml:space="preserve"> HYPERLINK \l _Toc16109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_Toc11411 </w:instrText>
          </w:r>
          <w:r>
            <w:rPr>
              <w:bCs/>
            </w:rPr>
            <w:fldChar w:fldCharType="separate"/>
          </w:r>
          <w:r>
            <w:rPr>
              <w:rFonts w:hint="eastAsia" w:ascii="Times New Roman" w:hAnsi="Times New Roman" w:eastAsia="楷体"/>
              <w:szCs w:val="24"/>
            </w:rPr>
            <w:t>集运指数（欧线）：红海事态趋缓期货或保持宽幅震荡，本日SCFI欧线数据成焦点</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686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864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观望为主</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市场恐慌杀跌后在托底资金加持下收出放量长下影线，稳住短线情绪，但面对公募、外资等的潜在持续卖出压力，市场流动性风险并未完全出清，故仍需关注托底资金可持续性，由于市场波动较大，建议短线投资者在市场企稳前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1620"/>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2927"/>
      <w:r>
        <w:rPr>
          <w:rFonts w:hint="eastAsia" w:ascii="Times New Roman" w:hAnsi="Times New Roman" w:eastAsia="楷体"/>
          <w:b/>
          <w:color w:val="000000" w:themeColor="text1"/>
          <w:sz w:val="24"/>
          <w:szCs w:val="24"/>
          <w14:textFill>
            <w14:solidFill>
              <w14:schemeClr w14:val="tx1"/>
            </w14:solidFill>
          </w14:textFill>
        </w:rPr>
        <w:t>贵金属：美国初请失业金人数下行，贵金属价格小幅上涨</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0.03%至103.40，美十债收益率涨3.8bp至4.145%。沪金涨0.11%，沪银涨0.27%。美国最新当周初请失业金人数18.7万人，为一年多以来新低，预期20.7万人，前值小幅上修至20.3万人；续请失业金人数180.6万人，略低于预期和前值。美联储博斯蒂克表示，劳动力市场有所放缓，现在更加平衡；若通胀进展放缓，利率保持较高水平更为有利，最糟糕的结果将是降息后不得不再次加息。美国参议院通过为政府机构提供资金直至3月、避免政府停摆的临时支出法案，送至众议院审议。此前美联储官员讲话弱化降息预期，海外市场持续关注后续美国经济数据公布情况，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197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25235"/>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碳酸锂：四川地区探明大型锂矿，期价小幅下跌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低开后横盘震荡，07合约收跌1.16%至102400元/吨。此前海外龙头锂企SQM生产因当地抗议活动短暂受阻，本周已恢复生产。据新华社消息，我国在四川雅江探获锂资源近百万吨，是亚洲迄今探明最大规模伟晶岩型单体锂矿。近期锂价于10万元左右的成本上方震荡整理，目前未见明显向上驱动。留意下游节后采购需求，不排除补库需求弱于预期的可能性。短期以内期价确认下方矿石提锂成本线支撑，后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7145"/>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13824"/>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27587"/>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31604"/>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维持高位承压运行，短期继续下调空间或有限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(1)宏观：截至1月13日当周，首次申请失业救济人数减少1.6万，经季节性调整后为18.7万，为2022年9月以来的最低水平。</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(2)库存：1月18日，SHFE仓单库存14559吨，减277吨；LME仓单库存157325吨，增3250吨。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(3)精废价差：1月18日，Mysteel精废价差1402，收窄24。目前价差在合理价差1380之上。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上周初请失业金人数降至2022年9月以来最低水平，暗示1月就业增长可能保持稳健，美元指数偏强运行，有色金属普遍承压。国内尚未如预期降息，市场情绪有所转冷。基本面，铜矿TC及粗铜加工费继续下行，原料偏紧对冶炼产量释放仍产生约束。临近春节，价格回调后下游仍有一定的补库需求，库存缓慢累增，但仍处低位， 预计价格维持高位承压运行，但短期继续下调空间或有限。</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32670"/>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弱向震荡为主</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就业数据表现强韧，降息预期压制，美元指数偏强运行，有色价格承压。电解铝运行产能保持稳定，下游开工受淡季及环保限产影响持续走弱，终端消费表现平淡，新增订单量十分有限，交易所库存及社会库存出现累库，主因国内中原地区解除环保限产贡献的增量，但整体库存水平仍位于历史低位，市场现货偏紧。宏观情绪偏弱，基本面上看，供应短期平稳运行，需求淡季持续走弱，库存低位支撑，价格承压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18140"/>
      <w:r>
        <w:rPr>
          <w:rFonts w:hint="eastAsia" w:ascii="楷体" w:hAnsi="楷体" w:eastAsia="楷体"/>
          <w:b/>
          <w:color w:val="000000" w:themeColor="text1"/>
          <w:sz w:val="24"/>
          <w:szCs w:val="24"/>
          <w14:textFill>
            <w14:solidFill>
              <w14:schemeClr w14:val="tx1"/>
            </w14:solidFill>
          </w14:textFill>
        </w:rPr>
        <w:t>锌：锌价震荡为主</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Nyrstar再度宣布暂停荷兰地区锌冶炼业务，表示将在1月下半月暂停其在荷兰布尔德工厂的锌冶炼业务，影响产能约计30万吨，海外锌锭供应再出减产消息，伦锌库存去库，伦锌价格挺立。实际国内基本面上看供需双减，TC下压薄冶炼端利润，炼锌产出有所回落，库存低位去库，预计价格运行上下均有压力，主力合约运行区间20800-21600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28068"/>
      <w:r>
        <w:rPr>
          <w:rFonts w:hint="eastAsia" w:ascii="楷体" w:hAnsi="楷体" w:eastAsia="楷体"/>
          <w:b/>
          <w:color w:val="000000" w:themeColor="text1"/>
          <w:sz w:val="24"/>
          <w:szCs w:val="24"/>
          <w14:textFill>
            <w14:solidFill>
              <w14:schemeClr w14:val="tx1"/>
            </w14:solidFill>
          </w14:textFill>
        </w:rPr>
        <w:t>镍：短期内上下驱动皆有限</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印尼政策消息的影响逐渐散去，昨日镍价反弹原因可能在于海外中间品项目停产消息的刺激。从基本面来看，镍维持供强需弱格局，电积镍仍有较多产能新投或扩产。中国精炼镍社会库存维持累库，沪镍库存刷新近三年高位。综合而言，一方面，海外中间品供应缩减的消息带来情绪刺激，金川镍现货偏紧及MHP价格回升为镍价带来一定支撑；另一方面，精炼镍维持供强需弱格局，加上社库累库，镍价上下驱动皆有限，预计震荡磨底运行。</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3735"/>
      <w:r>
        <w:rPr>
          <w:rFonts w:hint="eastAsia" w:ascii="楷体" w:hAnsi="楷体" w:eastAsia="楷体"/>
          <w:b/>
          <w:color w:val="000000" w:themeColor="text1"/>
          <w:sz w:val="24"/>
          <w:szCs w:val="24"/>
          <w14:textFill>
            <w14:solidFill>
              <w14:schemeClr w14:val="tx1"/>
            </w14:solidFill>
          </w14:textFill>
        </w:rPr>
        <w:t>不锈钢：不锈钢价承压运行</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两日不锈钢价反弹的原因可能在于不锈钢厂盘价上调，现货成交氛围边际回暖，以及镍铁价格有所上涨。供应端，临近春节，不锈钢厂排产有所下降，加上将进入传统检修期，不锈钢供应边际趋减。需求端，下游成交整体仍然疲软，加上部分下游企业将检修，不锈钢需求或趋弱。库存方面，不锈钢社会库存小幅累库。综合而言，不锈钢供需趋弱，但镍铁价格上涨也带来成本支撑，预计不锈钢价震荡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676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现货市场松动，盘面或偏弱运行</w:t>
      </w:r>
      <w:bookmarkEnd w:id="32"/>
    </w:p>
    <w:p>
      <w:pPr>
        <w:ind w:left="630" w:leftChars="300"/>
        <w:rPr>
          <w:rFonts w:ascii="楷体" w:hAnsi="楷体" w:eastAsia="楷体"/>
          <w:sz w:val="24"/>
          <w:szCs w:val="24"/>
        </w:rPr>
      </w:pPr>
      <w:r>
        <w:rPr>
          <w:rFonts w:hint="eastAsia" w:ascii="楷体" w:hAnsi="楷体" w:eastAsia="楷体"/>
          <w:sz w:val="24"/>
          <w:szCs w:val="24"/>
        </w:rPr>
        <w:t>1月18日，Si2403主力合约呈下行走势，收盘价13270元/吨，较上一收盘价涨跌幅-1.15%。近期工业硅市场交易活跃度较为清淡，现货价格也开始松动，出现小幅下降。据铁合金在线了解，较多多晶硅、有机硅、铝合金企业已进行春节前后刚需原料库存采购，节前备货或进入尾声，需求存在走弱预期，预计市场将偏弱运行。策略上，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24827"/>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2790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泰国病虫害使得供应收紧强于预期 天胶短期或偏强震荡</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产区遭遇病虫害叠加上游加工厂采购原料积极，致使胶水收购价格高位攀升，供应收紧强于预期。库存方面，国内社会库存回升，青岛深色胶即将呈现累库拐点，浅色库存同比去年上升。需求端来看，下游轮胎市场销量走低，工厂生产开工下滑进入淡季，需求牵制。整体看，在短时供应利好传导逻辑消化后，胶价或阶段性走弱，但短期整体仍维持震荡偏强走势。</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19900"/>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短线跟随成本端波动</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地缘局势不稳定及供应端短线扰动，对盘面继续带来支撑。原油盘面陷于僵局，短线延续震荡走势。PX面临宣港及估值换月，短线下行压力缓解。PTA方面，本周福海创降负至5成，逸盛海南200万吨重启，个别装置小幅调整负荷，至周四PTA装置负荷调整至84%（+0.2%）。本周陆续聚酯装置开始执行检修减产，涉及长丝短纤和切片，综合负荷有所下滑。截至本周四，初步核算国内大陆地区聚酯负荷在89.4%。后市来看，1月PTA装置检修不多，供应端或维持在偏高水平。聚酯库存压力尚可，但随着春节临近，聚酯减产预期增强，终端投机性补库需求不足，聚酯工厂集中在1月中下附近减产和检修量居多。中下旬终端会集中减停产放假，后市有需求季节性走弱预期。综合来看，近期PTA加工费压缩严重，部分装置公布后期检修计划后2月累库幅度缩减，短期受成本端提振震荡偏强。</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9020"/>
      <w:r>
        <w:rPr>
          <w:rFonts w:hint="eastAsia" w:ascii="楷体" w:hAnsi="楷体" w:eastAsia="楷体"/>
          <w:b/>
          <w:color w:val="000000" w:themeColor="text1"/>
          <w:sz w:val="24"/>
          <w:szCs w:val="24"/>
          <w14:textFill>
            <w14:solidFill>
              <w14:schemeClr w14:val="tx1"/>
            </w14:solidFill>
          </w14:textFill>
        </w:rPr>
        <w:t>聚烯烃：平衡表偏去库 聚烯烃下方空间有限</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较好。成本方面，美国商业原油库存下降，中东局势加剧紧张，国际油价上涨，但是国际能源署对供应乐观的报告抑制了油价涨幅。预计国际原油价格或下跌。需求方面，PE下游方面，农膜整体需求平平，工厂生产清淡，棚膜工厂多停机检修；PP下游方面，BOPP市场成交刚需有量，整体量较上一交易日增加，BOPP企业未交付订单多数在一周以内。综合来看，前期聚烯烃价格弱势的逻辑在于上游累库超预期，基差走强后中游套保商释放压力现货流动性走强，整体市场以降价去库的形势来表达。考虑到1月总量矛盾不大，平衡表偏去库的情况下，我们认为回调的幅度也将受限。其中，PE预期层面更有支撑，倾向于回调后布局PE多单。</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30814"/>
      <w:r>
        <w:rPr>
          <w:rFonts w:hint="eastAsia" w:ascii="楷体" w:hAnsi="楷体" w:eastAsia="楷体"/>
          <w:b/>
          <w:color w:val="000000" w:themeColor="text1"/>
          <w:sz w:val="24"/>
          <w:szCs w:val="24"/>
          <w14:textFill>
            <w14:solidFill>
              <w14:schemeClr w14:val="tx1"/>
            </w14:solidFill>
          </w14:textFill>
        </w:rPr>
        <w:t>MEG：库存持续去化 乙二醇短线趋势偏强</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1.15华东主港地区MEG港口库存约97.2万吨附近，环比上期下降6.6万吨。随着后续到港减少，港口库存有望持续去化。截至1月11日，中国大陆地区乙二醇整体开工负荷在59.70%，其中草酸催化加氢法（合成气）制乙二醇开工负荷在53.83%（-1.18%）。  截至1月11日，国内大陆地区聚酯负荷在89.2%，节前聚酯开工高位维持。终端来看，截止1.11 江浙加弹综合开工率82%(-5%)，江浙织机综合开工率73%(-4%），江浙印染综合开工率77%（+4%），华南下游织机综合开工负荷下滑至46%左右。综合来看，近期聚酯高开工仍维持，聚酯工厂产销较好带来的补库需求增加，市场下调乙二醇2月之前进口、国产量及进口到港减少，预计1-2月乙二醇供需改善呈现紧平衡格局。乙二醇到港减少下库存有望持续去化，近期盘面趋势偏强，短线留意4700上方压力位。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867"/>
      <w:r>
        <w:rPr>
          <w:rFonts w:hint="eastAsia" w:ascii="楷体" w:hAnsi="楷体" w:eastAsia="楷体"/>
          <w:b/>
          <w:color w:val="000000" w:themeColor="text1"/>
          <w:sz w:val="24"/>
          <w:szCs w:val="24"/>
          <w14:textFill>
            <w14:solidFill>
              <w14:schemeClr w14:val="tx1"/>
            </w14:solidFill>
          </w14:textFill>
        </w:rPr>
        <w:t>玻璃：周度累库，弱势震荡行情</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18日报道:今日浮法玻璃现货价格2023元/吨，较上一交易日持平。宏观政策刺激的不及预期逐步消化。供给上，全国浮法玻璃日产量为17.31万吨，环比持平。库存上，截止到20240118，全国浮法玻璃样本企业总库存3158.6万重箱，环比98.2万重箱，环比3.21%，行业再度进入累库；需求端，南方赶工临近尾声，华北节前以清库为主，保价促销，整体产销下滑。盘面冬储进度较慢，沙河和湖北现货维稳，下游观望情绪较浓，大规模补库意愿不高。盘面供给高位需求较弱，基本面偏空，但节前厂家、贸易商、深加工厂的库存都不高，加上厂家还有保价政策，向下的空间也有限。短期矛盾并不突出，随宏观情绪波动。短线建议观望，中长线建议等待反弹结束高空。</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24869"/>
      <w:r>
        <w:rPr>
          <w:rFonts w:hint="eastAsia" w:ascii="楷体" w:hAnsi="楷体" w:eastAsia="楷体"/>
          <w:b/>
          <w:color w:val="000000" w:themeColor="text1"/>
          <w:sz w:val="24"/>
          <w:szCs w:val="24"/>
          <w14:textFill>
            <w14:solidFill>
              <w14:schemeClr w14:val="tx1"/>
            </w14:solidFill>
          </w14:textFill>
        </w:rPr>
        <w:t>纯碱：累库未改，供给承压</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日内纯碱现货价格开始趋稳。西北青海地区重碱报价2000元/吨，轻碱报价1900元/吨。供给方面，截至20240118，周纯碱产量70.12万吨，涨幅1.44%，产量继续抬升;周内纯碱厂家库存43.81万吨，环比+1.22万吨，涨幅2.86%，累库。节后山东地区环保产能开始恢复，远兴3线提产，产量快速抬升，周度产量回升至69-70万吨，进口碱陆续到港，供给提升。需求端短期碱厂联合封单对轻碱下游的提货积极性有一定刺激作用，重碱保持刚需。但在产量高位的情况下，碱厂联合挺价的持续性存忧，现货价格经过一个月的下跌后进入震荡期，在库存较低的情况下或出现反复炒作的情况。操作上，短线建议观望，中长线建议等待反弹结束高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28322"/>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10321"/>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市场情绪悲观，期现价格偏弱运行</w:t>
      </w:r>
      <w:bookmarkEnd w:id="42"/>
    </w:p>
    <w:p>
      <w:pPr>
        <w:ind w:left="630" w:leftChars="300"/>
        <w:rPr>
          <w:rFonts w:ascii="楷体" w:hAnsi="楷体" w:eastAsia="楷体"/>
          <w:sz w:val="24"/>
          <w:szCs w:val="24"/>
        </w:rPr>
      </w:pPr>
      <w:r>
        <w:rPr>
          <w:rFonts w:hint="eastAsia" w:ascii="楷体" w:hAnsi="楷体" w:eastAsia="楷体"/>
          <w:sz w:val="24"/>
          <w:szCs w:val="24"/>
        </w:rPr>
        <w:t>受到空头回补以及邻池豆粕市场走强的提振，CBOT大豆收盘上涨，但短期难改疲弱态势，并对内盘构成压力。当前市场定价中心集中在南美，巴西近期产区降水持续改善，叠加阿根廷种植情况良好，提振南美大豆供应前景，虽早期因干旱影响，多家机构下调巴西大豆产量，但产量规模依然庞大，随着收获逐步开启，美豆也面临巴西新作大豆的供应挤压，巴西近月贴水持续下调，进口成本随之降低。国内豆粕延续供强需弱格局，供应端进入11月份后，随着进口大豆到港增加，油厂大豆库存持续增加，但因下游需求疲软，油厂开机率偏低，部分地区存胀库风险，豆粕库存处于同期偏高水平94.89万吨，当前沿海主流油厂豆粕现货报价下调至3430-3510元/吨。12月份进口大豆到港环比增加，为982.3万吨，叠加远月买船进度偏慢，远月供应端担忧仍存。需求，下游生猪养殖利润维持亏损，但在能繁存栏高位下，下游随采随用，保持安全库存，备货积极性不高。菜粕供应趋于宽松。在11月份后随着菜籽进口增加，菜粕供应转宽，目前菜籽库存以及油厂开机均有明显提升。而需求方面，随着水产消费旺季的结束，菜粕刚需减少，但在豆菜粕价差较大下提振菜粕的替代需求。策略方面，短期偏弱运行，建议豆粕短线逢高偏空操作，05暂看3000支撑，菜粕跟随豆粕偏弱运行，建议短线逢高偏空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4479"/>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上行动力不足，震荡整理</w:t>
      </w:r>
      <w:bookmarkEnd w:id="43"/>
    </w:p>
    <w:p>
      <w:pPr>
        <w:ind w:left="630" w:leftChars="300"/>
        <w:rPr>
          <w:rFonts w:ascii="楷体" w:hAnsi="楷体" w:eastAsia="楷体"/>
          <w:sz w:val="24"/>
          <w:szCs w:val="24"/>
        </w:rPr>
      </w:pPr>
      <w:r>
        <w:rPr>
          <w:rFonts w:hint="eastAsia" w:ascii="楷体" w:hAnsi="楷体" w:eastAsia="楷体"/>
          <w:sz w:val="24"/>
          <w:szCs w:val="24"/>
        </w:rPr>
        <w:t>当前油脂的主要支撑在于棕榈油产地和国内库存的去化，以及国内节前备货需求的启动，但整体供需宽松格局尚未转变，预计短期价格持续上行空间有限。棕榈油，产地11月份进入季节性减产周期，产地库存逐步去化，但后续进一步去化幅度仍需看供需进一步表现。印尼棕榈油10月份产需双增，但产量增幅不及需求，库存继续下降。而马棕12月份产需双降，因产量降幅较大，12月底库存环比下降4.64%至229万吨，虽库存压力减轻，但当前供需矛盾尚未出现，关注一季度产地供给端进一步调整。国内棕榈油9-11月份进口到港维持高位，但在高库存抑制下月度进口环比下滑，最新商业库存减至87.3万吨，库存高位回落。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菜籽及菜油供给趋于宽松。需求方面，与豆油价差存在竞争优势，部分地区出现低于豆油价格的情况，当前春节前备货也将陆续启动，成交好转，但仍不及预期。短期油脂预计持续上行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747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期价低开高走</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近期中储粮官网发布《中储粮集团公司将在东北等玉米主产区增加国产玉米收储规模》的公告，市场分歧依然较大，悲观一方则主要源于前期国储暂停进口拍卖并传言产区增储带动期现货反弹之后，实际收购力度不大，且收购价跟随市场价格持续下调，导致余粮继续施压，现货依然弱势下行。乐观一方则更多期待增储收购短期有助于化解产区余粮压力，甚至带动中游贸易商和下游饲料养殖企业入市补充库存，继而带来市场供需博弈的转变；中期有望改善市场对年度玉米产需缺口的预期。在这种情况下，接下来需要关注储备收购落地情况，直观表现在产区现货上。考虑到收储未能带动现货止跌，现货带动期价持续下跌，部分合约再创新低，观点由谨慎看多再度转为中性，建议投资者转为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变量中，行业供需近期继续改善，副产品延续弱势，现货基差支撑依然存在，考虑到盘面生产利润转负，淀粉-玉米价差短期难以收窄，但受制于行业产能过剩格局，其继续走扩空间亦受限。接下来重点留意原料成本即玉米现货，包括华北-东北玉米价差走势。在这种情况下，我们转为中性观点，建议投资单边暂以观望为宜，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18040"/>
      <w:r>
        <w:rPr>
          <w:rFonts w:hint="eastAsia" w:ascii="楷体" w:hAnsi="楷体" w:eastAsia="楷体"/>
          <w:b/>
          <w:bCs/>
          <w:color w:val="000000" w:themeColor="text1"/>
          <w14:textFill>
            <w14:solidFill>
              <w14:schemeClr w14:val="tx1"/>
            </w14:solidFill>
          </w14:textFill>
        </w:rPr>
        <w:t>畜禽养殖：现货滞涨带动鸡蛋期价再度大幅下跌</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短期则需要留意季节性因素，节前重点留意需求端的表现。综合来看，大方向维持谨慎看空观点，但春节前或存在短期季节性需求的支撑，期价或转为震荡调整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16109"/>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11411"/>
      <w:r>
        <w:rPr>
          <w:rFonts w:hint="eastAsia" w:ascii="Times New Roman" w:hAnsi="Times New Roman" w:eastAsia="楷体"/>
          <w:b/>
          <w:color w:val="000000" w:themeColor="text1"/>
          <w:sz w:val="24"/>
          <w:szCs w:val="24"/>
          <w14:textFill>
            <w14:solidFill>
              <w14:schemeClr w14:val="tx1"/>
            </w14:solidFill>
          </w14:textFill>
        </w:rPr>
        <w:t>集运指数（欧线）：红海事态趋缓期货或保持宽幅震荡，本日SCFI欧线数据成焦点</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马士基昨日宣布，自2025年2月起，拟与赫伯罗特开展名为“双子星”的长期运营协作计划，旨在通过灵活互通的运营网络和高准班率，向客户提供优质的集装箱班轮服务。赫伯罗特将于2025年1月31日退出THE班轮联盟。马士基与地中海航运已于2023年1月宣布，将在2025年1月终止2M班轮联盟合作。2024年，双方将妥善地处理从现有班轮联盟过渡到新协作的事宜。</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方面，各大船公司多已决定长期绕行好望角，目前红海关注点演变为美国英国等军事力量与也门胡塞武装的冲突。因此目前对供应链造成的边际冲击的深度有限，主要为绕行引起的成本上升以及周转率下降，但事态往长期方向发展。需求方面，4月合约为传统淡季，春节出货量会降低，未来将对运价造成一定压力。</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预计事态长期发展将使运价回落速度减慢，关注本日盘后SCFI数据公布，短期或呈现大幅度震荡，建议投资者谨慎进行区间交易。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71212556"/>
      <w:bookmarkStart w:id="49" w:name="_Toc19667"/>
      <w:bookmarkStart w:id="50" w:name="_Toc12779"/>
      <w:bookmarkStart w:id="51" w:name="_Toc98426751"/>
      <w:bookmarkStart w:id="52" w:name="_Toc72481108"/>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2024年1月19日星期五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DE660D"/>
    <w:rsid w:val="0D032A7C"/>
    <w:rsid w:val="0F662138"/>
    <w:rsid w:val="0F9B0CE9"/>
    <w:rsid w:val="0FF35275"/>
    <w:rsid w:val="100732C8"/>
    <w:rsid w:val="10DA6205"/>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042686"/>
    <w:rsid w:val="58246D5D"/>
    <w:rsid w:val="59151C86"/>
    <w:rsid w:val="59C52328"/>
    <w:rsid w:val="5AD37D8A"/>
    <w:rsid w:val="5B906095"/>
    <w:rsid w:val="5BF60A75"/>
    <w:rsid w:val="5C9F2D01"/>
    <w:rsid w:val="5D5617A6"/>
    <w:rsid w:val="5EA23F15"/>
    <w:rsid w:val="5EA7685B"/>
    <w:rsid w:val="619A2BBF"/>
    <w:rsid w:val="61DF02D0"/>
    <w:rsid w:val="62710E5F"/>
    <w:rsid w:val="63735B47"/>
    <w:rsid w:val="63FF1EA7"/>
    <w:rsid w:val="64C32497"/>
    <w:rsid w:val="66D04BBC"/>
    <w:rsid w:val="67655BF9"/>
    <w:rsid w:val="67C6389B"/>
    <w:rsid w:val="685D4EEE"/>
    <w:rsid w:val="68D53E8D"/>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2024-01-19T03:22:18Z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