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bookmarkStart w:id="53" w:name="_GoBack"/>
      <w:r>
        <w:rPr>
          <w:rFonts w:hint="eastAsia" w:ascii="Times New Roman" w:hAnsi="Times New Roman" w:eastAsia="楷体"/>
          <w:b/>
          <w:color w:val="823C0B"/>
          <w:sz w:val="30"/>
          <w:szCs w:val="30"/>
        </w:rPr>
        <w:t>评论品种一览</w:t>
      </w:r>
    </w:p>
    <w:bookmarkEnd w:id="53"/>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_Toc30537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_Toc18135 </w:instrText>
          </w:r>
          <w:r>
            <w:rPr>
              <w:bCs/>
            </w:rPr>
            <w:fldChar w:fldCharType="separate"/>
          </w:r>
          <w:r>
            <w:rPr>
              <w:rFonts w:hint="eastAsia" w:ascii="Times New Roman" w:hAnsi="Times New Roman" w:eastAsia="楷体"/>
              <w:szCs w:val="24"/>
            </w:rPr>
            <w:t>股指：观望增量资金持续性</w:t>
          </w:r>
          <w:r>
            <w:rPr>
              <w:bCs/>
            </w:rPr>
            <w:fldChar w:fldCharType="end"/>
          </w:r>
        </w:p>
        <w:p>
          <w:pPr>
            <w:pStyle w:val="59"/>
            <w:tabs>
              <w:tab w:val="right" w:leader="dot" w:pos="8306"/>
            </w:tabs>
          </w:pPr>
          <w:r>
            <w:rPr>
              <w:bCs/>
            </w:rPr>
            <w:fldChar w:fldCharType="begin"/>
          </w:r>
          <w:r>
            <w:rPr>
              <w:bCs/>
            </w:rPr>
            <w:instrText xml:space="preserve"> HYPERLINK \l _Toc9771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_Toc355 </w:instrText>
          </w:r>
          <w:r>
            <w:rPr>
              <w:bCs/>
            </w:rPr>
            <w:fldChar w:fldCharType="separate"/>
          </w:r>
          <w:r>
            <w:rPr>
              <w:rFonts w:hint="eastAsia" w:ascii="Times New Roman" w:hAnsi="Times New Roman" w:eastAsia="楷体"/>
              <w:szCs w:val="24"/>
            </w:rPr>
            <w:t>贵金属：美元指数上涨，贵金属价格回落</w:t>
          </w:r>
          <w:r>
            <w:rPr>
              <w:bCs/>
            </w:rPr>
            <w:fldChar w:fldCharType="end"/>
          </w:r>
        </w:p>
        <w:p>
          <w:pPr>
            <w:pStyle w:val="59"/>
            <w:tabs>
              <w:tab w:val="right" w:leader="dot" w:pos="8306"/>
            </w:tabs>
          </w:pPr>
          <w:r>
            <w:rPr>
              <w:bCs/>
            </w:rPr>
            <w:fldChar w:fldCharType="begin"/>
          </w:r>
          <w:r>
            <w:rPr>
              <w:bCs/>
            </w:rPr>
            <w:instrText xml:space="preserve"> HYPERLINK \l _Toc6802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_Toc19246 </w:instrText>
          </w:r>
          <w:r>
            <w:rPr>
              <w:bCs/>
            </w:rPr>
            <w:fldChar w:fldCharType="separate"/>
          </w:r>
          <w:r>
            <w:rPr>
              <w:rFonts w:hint="eastAsia" w:ascii="楷体" w:hAnsi="楷体" w:eastAsia="楷体"/>
              <w:szCs w:val="24"/>
            </w:rPr>
            <w:t>碳酸锂：留意下游节后采购需求，期价小幅上涨</w:t>
          </w:r>
          <w:r>
            <w:rPr>
              <w:bCs/>
            </w:rPr>
            <w:fldChar w:fldCharType="end"/>
          </w:r>
        </w:p>
        <w:p>
          <w:pPr>
            <w:pStyle w:val="74"/>
            <w:tabs>
              <w:tab w:val="right" w:leader="dot" w:pos="8306"/>
            </w:tabs>
          </w:pPr>
          <w:r>
            <w:rPr>
              <w:bCs/>
            </w:rPr>
            <w:fldChar w:fldCharType="begin"/>
          </w:r>
          <w:r>
            <w:rPr>
              <w:bCs/>
            </w:rPr>
            <w:instrText xml:space="preserve"> HYPERLINK \l _Toc3788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_Toc9674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_Toc21690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_Toc24542 </w:instrText>
          </w:r>
          <w:r>
            <w:rPr>
              <w:bCs/>
            </w:rPr>
            <w:fldChar w:fldCharType="separate"/>
          </w:r>
          <w:r>
            <w:rPr>
              <w:rFonts w:hint="eastAsia" w:ascii="楷体" w:hAnsi="楷体" w:eastAsia="楷体"/>
              <w:szCs w:val="24"/>
            </w:rPr>
            <w:t>铜：维持高位承压运行，短期继续下调空间或不大</w:t>
          </w:r>
          <w:r>
            <w:rPr>
              <w:bCs/>
            </w:rPr>
            <w:fldChar w:fldCharType="end"/>
          </w:r>
        </w:p>
        <w:p>
          <w:pPr>
            <w:pStyle w:val="74"/>
            <w:tabs>
              <w:tab w:val="right" w:leader="dot" w:pos="8306"/>
            </w:tabs>
          </w:pPr>
          <w:r>
            <w:rPr>
              <w:bCs/>
            </w:rPr>
            <w:fldChar w:fldCharType="begin"/>
          </w:r>
          <w:r>
            <w:rPr>
              <w:bCs/>
            </w:rPr>
            <w:instrText xml:space="preserve"> HYPERLINK \l _Toc23428 </w:instrText>
          </w:r>
          <w:r>
            <w:rPr>
              <w:bCs/>
            </w:rPr>
            <w:fldChar w:fldCharType="separate"/>
          </w:r>
          <w:r>
            <w:rPr>
              <w:rFonts w:hint="eastAsia" w:ascii="楷体" w:hAnsi="楷体" w:eastAsia="楷体"/>
              <w:szCs w:val="24"/>
            </w:rPr>
            <w:t>铝：暂无明显驱动，价格维持震荡态势</w:t>
          </w:r>
          <w:r>
            <w:rPr>
              <w:bCs/>
            </w:rPr>
            <w:fldChar w:fldCharType="end"/>
          </w:r>
        </w:p>
        <w:p>
          <w:pPr>
            <w:pStyle w:val="74"/>
            <w:tabs>
              <w:tab w:val="right" w:leader="dot" w:pos="8306"/>
            </w:tabs>
          </w:pPr>
          <w:r>
            <w:rPr>
              <w:bCs/>
            </w:rPr>
            <w:fldChar w:fldCharType="begin"/>
          </w:r>
          <w:r>
            <w:rPr>
              <w:bCs/>
            </w:rPr>
            <w:instrText xml:space="preserve"> HYPERLINK \l _Toc8843 </w:instrText>
          </w:r>
          <w:r>
            <w:rPr>
              <w:bCs/>
            </w:rPr>
            <w:fldChar w:fldCharType="separate"/>
          </w:r>
          <w:r>
            <w:rPr>
              <w:rFonts w:hint="eastAsia" w:ascii="楷体" w:hAnsi="楷体" w:eastAsia="楷体"/>
              <w:szCs w:val="24"/>
            </w:rPr>
            <w:t>锌：锌价震荡为主</w:t>
          </w:r>
          <w:r>
            <w:rPr>
              <w:bCs/>
            </w:rPr>
            <w:fldChar w:fldCharType="end"/>
          </w:r>
        </w:p>
        <w:p>
          <w:pPr>
            <w:pStyle w:val="74"/>
            <w:tabs>
              <w:tab w:val="right" w:leader="dot" w:pos="8306"/>
            </w:tabs>
          </w:pPr>
          <w:r>
            <w:rPr>
              <w:bCs/>
            </w:rPr>
            <w:fldChar w:fldCharType="begin"/>
          </w:r>
          <w:r>
            <w:rPr>
              <w:bCs/>
            </w:rPr>
            <w:instrText xml:space="preserve"> HYPERLINK \l _Toc11263 </w:instrText>
          </w:r>
          <w:r>
            <w:rPr>
              <w:bCs/>
            </w:rPr>
            <w:fldChar w:fldCharType="separate"/>
          </w:r>
          <w:r>
            <w:rPr>
              <w:rFonts w:hint="eastAsia" w:ascii="楷体" w:hAnsi="楷体" w:eastAsia="楷体"/>
              <w:szCs w:val="24"/>
            </w:rPr>
            <w:t>镍：预计镍价偏弱震荡磨底</w:t>
          </w:r>
          <w:r>
            <w:rPr>
              <w:bCs/>
            </w:rPr>
            <w:fldChar w:fldCharType="end"/>
          </w:r>
        </w:p>
        <w:p>
          <w:pPr>
            <w:pStyle w:val="74"/>
            <w:tabs>
              <w:tab w:val="right" w:leader="dot" w:pos="8306"/>
            </w:tabs>
          </w:pPr>
          <w:r>
            <w:rPr>
              <w:bCs/>
            </w:rPr>
            <w:fldChar w:fldCharType="begin"/>
          </w:r>
          <w:r>
            <w:rPr>
              <w:bCs/>
            </w:rPr>
            <w:instrText xml:space="preserve"> HYPERLINK \l _Toc3774 </w:instrText>
          </w:r>
          <w:r>
            <w:rPr>
              <w:bCs/>
            </w:rPr>
            <w:fldChar w:fldCharType="separate"/>
          </w:r>
          <w:r>
            <w:rPr>
              <w:rFonts w:hint="eastAsia" w:ascii="楷体" w:hAnsi="楷体" w:eastAsia="楷体"/>
              <w:szCs w:val="24"/>
            </w:rPr>
            <w:t>不锈钢：印尼消息扰动有限，不锈钢价承压运行</w:t>
          </w:r>
          <w:r>
            <w:rPr>
              <w:bCs/>
            </w:rPr>
            <w:fldChar w:fldCharType="end"/>
          </w:r>
        </w:p>
        <w:p>
          <w:pPr>
            <w:pStyle w:val="74"/>
            <w:tabs>
              <w:tab w:val="right" w:leader="dot" w:pos="8306"/>
            </w:tabs>
          </w:pPr>
          <w:r>
            <w:rPr>
              <w:bCs/>
            </w:rPr>
            <w:fldChar w:fldCharType="begin"/>
          </w:r>
          <w:r>
            <w:rPr>
              <w:bCs/>
            </w:rPr>
            <w:instrText xml:space="preserve"> HYPERLINK \l _Toc22816 </w:instrText>
          </w:r>
          <w:r>
            <w:rPr>
              <w:bCs/>
            </w:rPr>
            <w:fldChar w:fldCharType="separate"/>
          </w:r>
          <w:r>
            <w:rPr>
              <w:rFonts w:hint="eastAsia" w:ascii="楷体" w:hAnsi="楷体" w:eastAsia="楷体"/>
              <w:szCs w:val="24"/>
            </w:rPr>
            <w:t>工业硅：现货市场松动，盘面或偏弱运行</w:t>
          </w:r>
          <w:r>
            <w:rPr>
              <w:bCs/>
            </w:rPr>
            <w:fldChar w:fldCharType="end"/>
          </w:r>
        </w:p>
        <w:p>
          <w:pPr>
            <w:pStyle w:val="59"/>
            <w:tabs>
              <w:tab w:val="right" w:leader="dot" w:pos="8306"/>
            </w:tabs>
          </w:pPr>
          <w:r>
            <w:rPr>
              <w:bCs/>
            </w:rPr>
            <w:fldChar w:fldCharType="begin"/>
          </w:r>
          <w:r>
            <w:rPr>
              <w:bCs/>
            </w:rPr>
            <w:instrText xml:space="preserve"> HYPERLINK \l _Toc4686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_Toc3381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基本面多空充斥 天胶或震荡运行</w:t>
          </w:r>
          <w:r>
            <w:rPr>
              <w:bCs/>
            </w:rPr>
            <w:fldChar w:fldCharType="end"/>
          </w:r>
        </w:p>
        <w:p>
          <w:pPr>
            <w:pStyle w:val="74"/>
            <w:tabs>
              <w:tab w:val="right" w:leader="dot" w:pos="8306"/>
            </w:tabs>
          </w:pPr>
          <w:r>
            <w:rPr>
              <w:bCs/>
            </w:rPr>
            <w:fldChar w:fldCharType="begin"/>
          </w:r>
          <w:r>
            <w:rPr>
              <w:bCs/>
            </w:rPr>
            <w:instrText xml:space="preserve"> HYPERLINK \l _Toc6876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_Toc25021 </w:instrText>
          </w:r>
          <w:r>
            <w:rPr>
              <w:bCs/>
            </w:rPr>
            <w:fldChar w:fldCharType="separate"/>
          </w:r>
          <w:r>
            <w:rPr>
              <w:rFonts w:hint="eastAsia" w:ascii="楷体" w:hAnsi="楷体" w:eastAsia="楷体"/>
              <w:szCs w:val="24"/>
            </w:rPr>
            <w:t>聚烯烃：平衡表偏去库 聚烯烃回调幅度有限</w:t>
          </w:r>
          <w:r>
            <w:rPr>
              <w:bCs/>
            </w:rPr>
            <w:fldChar w:fldCharType="end"/>
          </w:r>
        </w:p>
        <w:p>
          <w:pPr>
            <w:pStyle w:val="74"/>
            <w:tabs>
              <w:tab w:val="right" w:leader="dot" w:pos="8306"/>
            </w:tabs>
          </w:pPr>
          <w:r>
            <w:rPr>
              <w:bCs/>
            </w:rPr>
            <w:fldChar w:fldCharType="begin"/>
          </w:r>
          <w:r>
            <w:rPr>
              <w:bCs/>
            </w:rPr>
            <w:instrText xml:space="preserve"> HYPERLINK \l _Toc15560 </w:instrText>
          </w:r>
          <w:r>
            <w:rPr>
              <w:bCs/>
            </w:rPr>
            <w:fldChar w:fldCharType="separate"/>
          </w:r>
          <w:r>
            <w:rPr>
              <w:rFonts w:hint="eastAsia" w:ascii="楷体" w:hAnsi="楷体" w:eastAsia="楷体"/>
              <w:szCs w:val="24"/>
            </w:rPr>
            <w:t>MEG：库存持续去化 乙二醇短线趋势偏强</w:t>
          </w:r>
          <w:r>
            <w:rPr>
              <w:bCs/>
            </w:rPr>
            <w:fldChar w:fldCharType="end"/>
          </w:r>
        </w:p>
        <w:p>
          <w:pPr>
            <w:pStyle w:val="74"/>
            <w:tabs>
              <w:tab w:val="right" w:leader="dot" w:pos="8306"/>
            </w:tabs>
          </w:pPr>
          <w:r>
            <w:rPr>
              <w:bCs/>
            </w:rPr>
            <w:fldChar w:fldCharType="begin"/>
          </w:r>
          <w:r>
            <w:rPr>
              <w:bCs/>
            </w:rPr>
            <w:instrText xml:space="preserve"> HYPERLINK \l _Toc24334 </w:instrText>
          </w:r>
          <w:r>
            <w:rPr>
              <w:bCs/>
            </w:rPr>
            <w:fldChar w:fldCharType="separate"/>
          </w:r>
          <w:r>
            <w:rPr>
              <w:rFonts w:hint="eastAsia" w:ascii="楷体" w:hAnsi="楷体" w:eastAsia="楷体"/>
              <w:szCs w:val="24"/>
            </w:rPr>
            <w:t>玻璃：宏观扰动较多，盘面震荡反弹</w:t>
          </w:r>
          <w:r>
            <w:rPr>
              <w:bCs/>
            </w:rPr>
            <w:fldChar w:fldCharType="end"/>
          </w:r>
        </w:p>
        <w:p>
          <w:pPr>
            <w:pStyle w:val="74"/>
            <w:tabs>
              <w:tab w:val="right" w:leader="dot" w:pos="8306"/>
            </w:tabs>
          </w:pPr>
          <w:r>
            <w:rPr>
              <w:bCs/>
            </w:rPr>
            <w:fldChar w:fldCharType="begin"/>
          </w:r>
          <w:r>
            <w:rPr>
              <w:bCs/>
            </w:rPr>
            <w:instrText xml:space="preserve"> HYPERLINK \l _Toc22202 </w:instrText>
          </w:r>
          <w:r>
            <w:rPr>
              <w:bCs/>
            </w:rPr>
            <w:fldChar w:fldCharType="separate"/>
          </w:r>
          <w:r>
            <w:rPr>
              <w:rFonts w:hint="eastAsia" w:ascii="楷体" w:hAnsi="楷体" w:eastAsia="楷体"/>
              <w:szCs w:val="24"/>
            </w:rPr>
            <w:t>纯碱：碱厂联合封单，短线震荡反弹</w:t>
          </w:r>
          <w:r>
            <w:rPr>
              <w:bCs/>
            </w:rPr>
            <w:fldChar w:fldCharType="end"/>
          </w:r>
        </w:p>
        <w:p>
          <w:pPr>
            <w:pStyle w:val="59"/>
            <w:tabs>
              <w:tab w:val="right" w:leader="dot" w:pos="8306"/>
            </w:tabs>
          </w:pPr>
          <w:r>
            <w:rPr>
              <w:bCs/>
            </w:rPr>
            <w:fldChar w:fldCharType="begin"/>
          </w:r>
          <w:r>
            <w:rPr>
              <w:bCs/>
            </w:rPr>
            <w:instrText xml:space="preserve"> HYPERLINK \l _Toc10800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_Toc16016 </w:instrText>
          </w:r>
          <w:r>
            <w:rPr>
              <w:bCs/>
            </w:rPr>
            <w:fldChar w:fldCharType="separate"/>
          </w:r>
          <w:r>
            <w:rPr>
              <w:rFonts w:hint="eastAsia" w:ascii="楷体" w:hAnsi="楷体" w:eastAsia="楷体"/>
              <w:szCs w:val="24"/>
            </w:rPr>
            <w:t>豆粕/菜粕：内外利空压制，期现价格偏弱运行</w:t>
          </w:r>
          <w:r>
            <w:rPr>
              <w:bCs/>
            </w:rPr>
            <w:fldChar w:fldCharType="end"/>
          </w:r>
        </w:p>
        <w:p>
          <w:pPr>
            <w:pStyle w:val="74"/>
            <w:tabs>
              <w:tab w:val="right" w:leader="dot" w:pos="8306"/>
            </w:tabs>
          </w:pPr>
          <w:r>
            <w:rPr>
              <w:bCs/>
            </w:rPr>
            <w:fldChar w:fldCharType="begin"/>
          </w:r>
          <w:r>
            <w:rPr>
              <w:bCs/>
            </w:rPr>
            <w:instrText xml:space="preserve"> HYPERLINK \l _Toc23192 </w:instrText>
          </w:r>
          <w:r>
            <w:rPr>
              <w:bCs/>
            </w:rPr>
            <w:fldChar w:fldCharType="separate"/>
          </w:r>
          <w:r>
            <w:rPr>
              <w:rFonts w:hint="eastAsia" w:ascii="楷体" w:hAnsi="楷体" w:eastAsia="楷体"/>
              <w:szCs w:val="24"/>
            </w:rPr>
            <w:t>油脂：节前备货启动，底部存支撑</w:t>
          </w:r>
          <w:r>
            <w:rPr>
              <w:bCs/>
            </w:rPr>
            <w:fldChar w:fldCharType="end"/>
          </w:r>
        </w:p>
        <w:p>
          <w:pPr>
            <w:pStyle w:val="74"/>
            <w:tabs>
              <w:tab w:val="right" w:leader="dot" w:pos="8306"/>
            </w:tabs>
          </w:pPr>
          <w:r>
            <w:rPr>
              <w:bCs/>
            </w:rPr>
            <w:fldChar w:fldCharType="begin"/>
          </w:r>
          <w:r>
            <w:rPr>
              <w:bCs/>
            </w:rPr>
            <w:instrText xml:space="preserve"> HYPERLINK \l _Toc10935 </w:instrText>
          </w:r>
          <w:r>
            <w:rPr>
              <w:bCs/>
            </w:rPr>
            <w:fldChar w:fldCharType="separate"/>
          </w:r>
          <w:r>
            <w:rPr>
              <w:rFonts w:hint="eastAsia" w:ascii="楷体" w:hAnsi="楷体" w:eastAsia="楷体"/>
              <w:bCs/>
            </w:rPr>
            <w:t>玉米与淀粉：</w:t>
          </w:r>
          <w:r>
            <w:rPr>
              <w:rFonts w:hint="eastAsia" w:ascii="楷体" w:hAnsi="楷体" w:eastAsia="楷体"/>
            </w:rPr>
            <w:t>期价继续震荡运行</w:t>
          </w:r>
          <w:r>
            <w:rPr>
              <w:bCs/>
            </w:rPr>
            <w:fldChar w:fldCharType="end"/>
          </w:r>
        </w:p>
        <w:p>
          <w:pPr>
            <w:pStyle w:val="74"/>
            <w:tabs>
              <w:tab w:val="right" w:leader="dot" w:pos="8306"/>
            </w:tabs>
          </w:pPr>
          <w:r>
            <w:rPr>
              <w:bCs/>
            </w:rPr>
            <w:fldChar w:fldCharType="begin"/>
          </w:r>
          <w:r>
            <w:rPr>
              <w:bCs/>
            </w:rPr>
            <w:instrText xml:space="preserve"> HYPERLINK \l _Toc32421 </w:instrText>
          </w:r>
          <w:r>
            <w:rPr>
              <w:bCs/>
            </w:rPr>
            <w:fldChar w:fldCharType="separate"/>
          </w:r>
          <w:r>
            <w:rPr>
              <w:rFonts w:hint="eastAsia" w:ascii="楷体" w:hAnsi="楷体" w:eastAsia="楷体"/>
              <w:bCs/>
            </w:rPr>
            <w:t>畜禽养殖：生猪期价震荡回落</w:t>
          </w:r>
          <w:r>
            <w:rPr>
              <w:bCs/>
            </w:rPr>
            <w:fldChar w:fldCharType="end"/>
          </w:r>
        </w:p>
        <w:p>
          <w:pPr>
            <w:pStyle w:val="59"/>
            <w:tabs>
              <w:tab w:val="right" w:leader="dot" w:pos="8306"/>
            </w:tabs>
          </w:pPr>
          <w:r>
            <w:rPr>
              <w:bCs/>
            </w:rPr>
            <w:fldChar w:fldCharType="begin"/>
          </w:r>
          <w:r>
            <w:rPr>
              <w:bCs/>
            </w:rPr>
            <w:instrText xml:space="preserve"> HYPERLINK \l _Toc25390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_Toc19719 </w:instrText>
          </w:r>
          <w:r>
            <w:rPr>
              <w:bCs/>
            </w:rPr>
            <w:fldChar w:fldCharType="separate"/>
          </w:r>
          <w:r>
            <w:rPr>
              <w:rFonts w:hint="eastAsia" w:ascii="Times New Roman" w:hAnsi="Times New Roman" w:eastAsia="楷体"/>
              <w:szCs w:val="24"/>
            </w:rPr>
            <w:t>集运指数（欧线）：红海冲突边际加剧可能性不大，运力供应维持偏紧，期货或呈高位震荡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053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813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观望增量资金持续性</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沪指宽幅震荡收平，盘中跌破2022年4月低点，但收盘创四连阳，底部托底力量明显，但需观察增量资金稳定性，目前看昨日下午沪深300ETF成交额放量，IF日增仓1.3万手、基差上行回升水；午后国债逆回购异动拉升；日经225 ETF溢价率过高，尾盘大跳水，或推动资金回流。此外，今日将公布12月经济数据，若市场提前计价复苏弱势，市场的政策预期有所抬升。</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9771"/>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355"/>
      <w:r>
        <w:rPr>
          <w:rFonts w:hint="eastAsia" w:ascii="Times New Roman" w:hAnsi="Times New Roman" w:eastAsia="楷体"/>
          <w:b/>
          <w:color w:val="000000" w:themeColor="text1"/>
          <w:sz w:val="24"/>
          <w:szCs w:val="24"/>
          <w14:textFill>
            <w14:solidFill>
              <w14:schemeClr w14:val="tx1"/>
            </w14:solidFill>
          </w14:textFill>
        </w:rPr>
        <w:t>贵金属：美元指数上涨，贵金属价格回落</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0.73%至103.34，美十债收益率涨12.4bp至4.062%。沪金跌0.44%，沪银跌0.27%。美联储理事沃勒讲话表示，若通胀不反弹，美联储可以在今年降息；需要更多信息确认通胀下降至目标水平；降息应谨慎有序进行，无需像过去那样迅速降息。美国1月纽约联储制造业指数录得-43.7，为2020年5月以来新低，预期-5，前值-14.5。联储官员讲话弱化降息预期，海外市场持续关注后续美国经济数据公布情况，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680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924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碳酸锂：留意下游节后采购需求，期价小幅上涨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反弹，07合约收涨2.16%至104150元/吨。部分锂企春节前后将例行检修，部分下游企业考虑补库规划且排产略微前置。04相对于07的价差运行至约贴水一千左右的低位，锂价或于10万元左右的成本上方震荡整理，目前未见明显向上驱动。留意下游节后采购需求，不排除补库需求弱于预期的可能性。短期以内期价确认下方矿石提锂成本线支撑，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3788"/>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9674"/>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1690"/>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24542"/>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维持高位承压运行，短期继续下调空间或不大</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(1)库存：1月16日，SHFE仓单库存14086吨，增3989吨；LME仓单库存154725吨，减300吨。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(2)精废价差：1月16日，Mysteel精废价差1476，扩张90。目前价差在合理价差1382之上。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方面，国内进行9950亿元一年期MLF操作，利率2.5%不变，尚未如预期降息，市场情绪有所转冷。基本面，铜矿TC及粗铜加工费继续下行，原料偏紧对冶炼产量释放仍产生约束。临近春节，价格回调后下游仍有一定的补库需求，库存缓慢累增，但仍处低位， 预计短期价格维持高位承压运行，继续下调空间或不大，波动区间参考67500-68500。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23428"/>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暂无明显驱动，价格维持震荡态势</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多变，维持外弱内强格局。电解铝运行产能保持稳定，下游开工受淡季及环保限产影响持续走弱，终端消费表现平淡，新增订单量十分有限，交易所库存及社会库存出现累库，主因国内中原地区解除环保限产贡献的增量，但整体库存水平仍位于历史低位，市场现货偏紧。宏观情绪受海外消息面影响压制，基本面上看，供应短期平稳运行，需求淡季持续走弱，库存低位支撑，铝价上下有限，价格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8843"/>
      <w:r>
        <w:rPr>
          <w:rFonts w:hint="eastAsia" w:ascii="楷体" w:hAnsi="楷体" w:eastAsia="楷体"/>
          <w:b/>
          <w:color w:val="000000" w:themeColor="text1"/>
          <w:sz w:val="24"/>
          <w:szCs w:val="24"/>
          <w14:textFill>
            <w14:solidFill>
              <w14:schemeClr w14:val="tx1"/>
            </w14:solidFill>
          </w14:textFill>
        </w:rPr>
        <w:t>锌：锌价震荡为主</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Nyrstar再度宣布暂停荷兰地区锌冶炼业务，表示将在1月下半月暂停其在荷兰布尔德工厂的锌冶炼业务，影响产能约计30万吨，海外锌锭供应再出减产消息，伦锌库存去库，伦锌价格挺立。实际国内基本面上看供需双减，TC下压薄冶炼端利润，炼锌产出有所回落，库存低位去库，预计价格运行上下均有压力，主力合约运行区间20800-21600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1263"/>
      <w:r>
        <w:rPr>
          <w:rFonts w:hint="eastAsia" w:ascii="楷体" w:hAnsi="楷体" w:eastAsia="楷体"/>
          <w:b/>
          <w:color w:val="000000" w:themeColor="text1"/>
          <w:sz w:val="24"/>
          <w:szCs w:val="24"/>
          <w14:textFill>
            <w14:solidFill>
              <w14:schemeClr w14:val="tx1"/>
            </w14:solidFill>
          </w14:textFill>
        </w:rPr>
        <w:t>镍：预计镍价偏弱震荡磨底</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印尼两则消息带来扰动，一是印尼大选的第三号候选人表示如果当选将暂停镍铁冶炼厂的建设，但此事尚有诸多不确定性，二是受行政问题，一些印尼镍矿RKAB被退回，但印尼矿业协会表示将在1月底前继续完成多份申请，因此预计印尼消息对盘面影响有限。从基本面来看，镍维持供强需弱格局，电积镍仍有较多产能新投或扩产。上周中国精炼镍社会库存增明显累库，沪镍库存刷新近三年高位。综合而言，印尼消息对盘面的影响有限，镍的基本面仍偏弱，加上社库累库，镍价承压，但近期金川镍现货偏紧及MHP价格回升带来一定支撑，短期内继续深跌动能不足，预计镍价震荡偏弱磨底。</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3774"/>
      <w:r>
        <w:rPr>
          <w:rFonts w:hint="eastAsia" w:ascii="楷体" w:hAnsi="楷体" w:eastAsia="楷体"/>
          <w:b/>
          <w:color w:val="000000" w:themeColor="text1"/>
          <w:sz w:val="24"/>
          <w:szCs w:val="24"/>
          <w14:textFill>
            <w14:solidFill>
              <w14:schemeClr w14:val="tx1"/>
            </w14:solidFill>
          </w14:textFill>
        </w:rPr>
        <w:t>不锈钢：印尼消息扰动有限，不锈钢价承压运行</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印尼消息带来扰动，一是印尼大选的第三号候选人表示如果当选将暂停镍铁冶炼厂的建设，但此事尚有诸多不确定性，二是受行政问题，一些印尼镍矿RKAB被退回，但印尼矿业协会表示将在1月底前继续完成多份申请，预计印尼消息对盘面影响有限。供应端，临近春节，不锈钢厂排产有所下降，加上将进入传统检修期，不锈钢供应边际趋减。需求端，下游成交整体仍以刚需采购为主，加上部分下游企业将检修，不锈钢需求或趋弱。库存方面，由于大量在途资源到货，且下游需求疲弱，不锈钢社会库存拐向累库。综合而言，印尼消息扰动的影响有限，供需趋弱，不过镍铁价格企稳也带来成本支撑，预计不锈钢价震荡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2281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现货市场松动，盘面或偏弱运行</w:t>
      </w:r>
      <w:bookmarkEnd w:id="32"/>
    </w:p>
    <w:p>
      <w:pPr>
        <w:ind w:left="630" w:leftChars="300"/>
        <w:rPr>
          <w:rFonts w:ascii="楷体" w:hAnsi="楷体" w:eastAsia="楷体"/>
          <w:sz w:val="24"/>
          <w:szCs w:val="24"/>
        </w:rPr>
      </w:pPr>
      <w:r>
        <w:rPr>
          <w:rFonts w:hint="eastAsia" w:ascii="楷体" w:hAnsi="楷体" w:eastAsia="楷体"/>
          <w:sz w:val="24"/>
          <w:szCs w:val="24"/>
        </w:rPr>
        <w:t>1月16日，Si2403主力合约呈下行走势，收盘价13540元/吨，较上一收盘价涨跌幅-0.99%。近期。工业硅市场交易活跃度较为清淡，现货价格也开始松动，出现小幅下降。据铁合金在线了解，较多多晶硅、有机硅、铝合金企业已进行春节前后刚需原料库存采购，节前备货或进入尾声，需求存在走弱预期，预计市场将偏弱运行。策略上，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4686"/>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338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基本面多空充斥 天胶或震荡运行</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继国内产区停割后，海外泰东北及越南产区本月中下旬陆续进入停割减产季，供应端存在收紧预期，原料价格易涨难跌，上游工厂成本压力增大。库存方面，国内社会库存回升，青岛深色胶即将呈现累库拐点，浅色库存同比去年上升。需求端来看，下游轮胎市场销量走低，工厂生产开工下滑进入淡季，需求牵制。整体看，前期供应端利好打开深色胶交割利润空间，海外大量出货，近期青岛港库存累库压力较大，叠加下游需求年终难兑现乐观，天胶市场缺乏明显驱动下或震荡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6876"/>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地缘局势不稳定及供应端短线扰动，对盘面继续带来支撑。原油盘面陷于僵局，短线延续震荡走势。PX面临宣港及估值换月，短线下行压力缓解。PTA方面，上周随着海南逸盛PTA装置的恢复，PTA开工率回升至83.8%附近，+1.8%。截至1.11，初步核算国内大陆地区聚酯负荷在89.9%。随着春节假期的临近，市场普遍关注后市聚酯工厂减产计划。后市来看，1月PTA装置检修不多，供应端或维持在偏高水平。聚酯库存压力尚可，但随着春节临近，聚酯减产预期增强，终端投机性补库需求不足，聚酯工厂集中在1月附近减产和检修量居多。因终端新订单有所减少，部分织造厂成品库存上升，预计中下旬终端会集中减停产放假，后市有需求季节性走弱预期。综合来看，近期PTA加工费压缩严重，部分装置公布检修计划，短期受成本端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5021"/>
      <w:r>
        <w:rPr>
          <w:rFonts w:hint="eastAsia" w:ascii="楷体" w:hAnsi="楷体" w:eastAsia="楷体"/>
          <w:b/>
          <w:color w:val="000000" w:themeColor="text1"/>
          <w:sz w:val="24"/>
          <w:szCs w:val="24"/>
          <w14:textFill>
            <w14:solidFill>
              <w14:schemeClr w14:val="tx1"/>
            </w14:solidFill>
          </w14:textFill>
        </w:rPr>
        <w:t>聚烯烃：平衡表偏去库 聚烯烃回调幅度有限</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较好。成本方面，受美元汇率增强和围绕需求的担忧影响，美国基准原油期货收盘走低，但中东持续紧张局势扰乱了油轮运输并威胁到该地区的石油供应，为布伦特原油期货提供了支撑。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5560"/>
      <w:r>
        <w:rPr>
          <w:rFonts w:hint="eastAsia" w:ascii="楷体" w:hAnsi="楷体" w:eastAsia="楷体"/>
          <w:b/>
          <w:color w:val="000000" w:themeColor="text1"/>
          <w:sz w:val="24"/>
          <w:szCs w:val="24"/>
          <w14:textFill>
            <w14:solidFill>
              <w14:schemeClr w14:val="tx1"/>
            </w14:solidFill>
          </w14:textFill>
        </w:rPr>
        <w:t>MEG：库存持续去化 乙二醇短线趋势偏强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1.15华东主港地区MEG港口库存约97.2万吨附近，环比上期下降6.6万吨。随着后续到港减少，港口库存有望持续去化。截至1月11日，中国大陆地区乙二醇整体开工负荷在59.70%，其中草酸催化加氢法（合成气）制乙二醇开工负荷在53.83%（-1.18%）。  截至1月11日，国内大陆地区聚酯负荷在89.2%，节前聚酯开工高位维持。终端来看，截止1.11 江浙加弹综合开工率82%(-5%)，江浙织机综合开工率73%(-4%），江浙印染综合开工率77%（+4%），华南下游织机综合开工负荷下滑至46%左右。综合来看，近期聚酯高开工仍维持，聚酯工厂产销较好带来的补库需求增加，市场下调乙二醇2月之前进口、国产量及进口到港减少，预计1-2月乙二醇供需改善呈现紧平衡格局。乙二醇到港减少下库存有望持续去化，近期盘面趋势偏强，短线留意4700上方压力位。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4334"/>
      <w:r>
        <w:rPr>
          <w:rFonts w:hint="eastAsia" w:ascii="楷体" w:hAnsi="楷体" w:eastAsia="楷体"/>
          <w:b/>
          <w:color w:val="000000" w:themeColor="text1"/>
          <w:sz w:val="24"/>
          <w:szCs w:val="24"/>
          <w14:textFill>
            <w14:solidFill>
              <w14:schemeClr w14:val="tx1"/>
            </w14:solidFill>
          </w14:textFill>
        </w:rPr>
        <w:t>玻璃：宏观扰动较多，盘面震荡反弹</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16日报道：今日浮法玻璃现货价格2027元/吨，较上一交易日-2元/吨。宏观方面有降准降息的预期以及彭博最新报道后续或有1万亿元特别国债政策待发行。供给上，全国浮法玻璃日产量为17.31万吨，环比持平。库存上，上周全国浮法玻璃样本企业总库存3060.4万重箱，环比-165.2万重箱，环比-5.12%，小幅去库；但本周产销走弱，预计累库。需求端，南方赶工临近尾声，华北节前以清库为主，保价促销，整体产销下滑。盘面冬储进度较慢，沙河和湖北现货维稳，下游观望情绪较浓，补库意愿不高。盘面受宏观情绪小幅反弹，但供给高位需求不及预期下，上方抛压较重，玻璃仍处于震荡行情中，参考区间（1650，1850）。后市重点关注玻璃现货产销情况以及宏观财政政策导向。</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22202"/>
      <w:r>
        <w:rPr>
          <w:rFonts w:hint="eastAsia" w:ascii="楷体" w:hAnsi="楷体" w:eastAsia="楷体"/>
          <w:b/>
          <w:color w:val="000000" w:themeColor="text1"/>
          <w:sz w:val="24"/>
          <w:szCs w:val="24"/>
          <w14:textFill>
            <w14:solidFill>
              <w14:schemeClr w14:val="tx1"/>
            </w14:solidFill>
          </w14:textFill>
        </w:rPr>
        <w:t>纯碱：碱厂联合封单，短线震荡反弹</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1月进入下旬纯碱现货价格跌幅边际放缓。周内西北青海地区重碱报价2000元/吨，轻碱报价1900元/吨；部分碱厂有封单挺价动作出现。供给方面，截至20240111，周内纯碱产量69.12万吨，涨幅4.22%；纯碱厂家库存42.59万吨，环比+5.63万吨，涨幅15.23%。节后山东地区环保产能开始恢复，远兴3线提产，产量快速抬升，周度产量在69-70万吨，叠加进口碱陆续到港，2月进口价继续回落。需求端下游经过上个月补库以后采购积极性下降。盘面日内受碱厂联合封单影响大幅反弹，短线下跌到目前位置，情绪影响较大，碱厂联合挺价，现货跌幅收窄有企稳迹象，在库存较低的情况下或出现反复炒作封单的情况。操作上，短线进入反弹节奏，中长线可等待反弹结束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0800"/>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16016"/>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内外利空压制，期现价格偏弱运行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随着巴西大豆收获开始，美国大豆出口需求步伐迟缓，加上美国农业部的1月份供需数据偏空，CBOT大豆一度向下试探1200关口。当前市场定价中心集中在南美，巴西天气不确定性仍较大，虽种植进度落后于去年同期及五年均值水平，但在近期产区降水持续改善下，市场对其丰产预期回升，中长期南美丰产预期能否兑现仍是后续价格走势的关键，持续关注巴西后续天气情况。国内豆粕延续供强需弱格局，供应端进入11月份后，随着进口大豆到港增加，油厂大豆库存持续增加，但因下游需求疲软，油厂开机率较低，部分地区存胀库风险，豆粕库存较前一周增至97.25万吨，当前沿海主流油厂豆粕现货报价下调至3500-3570元/吨。但11月份进口大豆到港不及预期，为792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逢高偏空操作，05暂看3000支撑，菜粕跟随豆粕偏弱运行，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23192"/>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节前备货启动，底部存支撑</w:t>
      </w:r>
      <w:bookmarkEnd w:id="43"/>
    </w:p>
    <w:p>
      <w:pPr>
        <w:ind w:left="630" w:leftChars="300"/>
        <w:rPr>
          <w:rFonts w:ascii="楷体" w:hAnsi="楷体" w:eastAsia="楷体"/>
          <w:sz w:val="24"/>
          <w:szCs w:val="24"/>
        </w:rPr>
      </w:pPr>
      <w:r>
        <w:rPr>
          <w:rFonts w:hint="eastAsia" w:ascii="楷体" w:hAnsi="楷体" w:eastAsia="楷体"/>
          <w:sz w:val="24"/>
          <w:szCs w:val="24"/>
        </w:rPr>
        <w:t>MPOB报告利好以及国际地缘政治的不确定性对油脂构成支撑，且国内春节前备货陆续启动，但因整体供需宽松格局尚未转变，预计短期价格上方空间有限。棕榈油，产地11月份进入季节性减产周期，产地库存逐步去化，同时天气或有异常出现，对期价构成支撑。印尼棕榈油10月份产需双增，但产量增幅不及需求，库存继续下降。而马棕12月份产需双降，因产量降幅较大，12月底库存环比下降4.64%至229万吨，为8月以来最低水平，但当前供需矛盾尚未出现，关注一季度产地供给端进一步调整。国内棕榈油9-11月份进口到港维持高位，但在高库存抑制下月度进口环比下滑，最新商业库存减至87.3万吨，仍处于同期高位。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当前春节前备货也将陆续启动，关注下游备货情况。短期油脂预计反弹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1093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期价继续震荡运行</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中储粮官网发布《中储粮集团公司将在东北等玉米主产区增加国产玉米收储规模》的公告，市场分歧依然较大，悲观一方则主要源于前期国储暂停进口拍卖并传言产区增储带动期现货反弹之后，实际收购力度不大，且收购价跟随市场价格持续下调，导致余粮继续施压，现货依然弱势下行。乐观一方则更多期待增储收购短期有助于化解产区余粮压力，甚至带动中游贸易商和下游饲料养殖企业入市补充库存，继而带来市场供需博弈的转变；中期有望改善市场对年度玉米产需缺口的预期。在这种情况下，接下来需要关注储备收购落地情况，直观表现在产区现货上。综上所述，我们观点由前期中性转向谨慎看多，建议投资者可考虑以前低作为止损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中，行业供需近期继续改善，副产品延续弱势，现货基差支撑依然存在，考虑到盘面生产利润转负，淀粉-玉米价差短期难以收窄，但受制于行业产能过剩格局，其继续走扩空间亦受限。接下来重点留意原料成本即玉米现货，包括华北-东北玉米价差走势。在这种情况下，我们转为谨慎看多观点，单边建议谨慎投资者观望，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32421"/>
      <w:r>
        <w:rPr>
          <w:rFonts w:hint="eastAsia" w:ascii="楷体" w:hAnsi="楷体" w:eastAsia="楷体"/>
          <w:b/>
          <w:bCs/>
          <w:color w:val="000000" w:themeColor="text1"/>
          <w14:textFill>
            <w14:solidFill>
              <w14:schemeClr w14:val="tx1"/>
            </w14:solidFill>
          </w14:textFill>
        </w:rPr>
        <w:t>畜禽养殖：生猪期价震荡回落</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综合来看，大方向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25390"/>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19719"/>
      <w:r>
        <w:rPr>
          <w:rFonts w:hint="eastAsia" w:ascii="Times New Roman" w:hAnsi="Times New Roman" w:eastAsia="楷体"/>
          <w:b/>
          <w:color w:val="000000" w:themeColor="text1"/>
          <w:sz w:val="24"/>
          <w:szCs w:val="24"/>
          <w14:textFill>
            <w14:solidFill>
              <w14:schemeClr w14:val="tx1"/>
            </w14:solidFill>
          </w14:textFill>
        </w:rPr>
        <w:t>集运指数（欧线）：红海冲突边际加剧可能性不大，运力供应维持偏紧，期货或呈高位震荡</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即期运价方面，2024年1月12日，SCFI欧线数据为3103美元/TEU，涨8.1%，维持单位数增幅。1月15日，SCIFS欧线数据3140.7点，大涨近50%。</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根据最新形势，各大船公司多已决定长期绕行好望角，目前红海关注点演变为美国英国等军事力量与也门胡塞武装的冲突。因此目前对供应链造成的边际冲击的深度有限，主要为绕行引起的成本上升以及周转率下降，但事态往长期方向发展。需求方面，4月合约为传统淡季，春节出货量会降低，未来将对运价造成一定压力。</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预计事态长期发展将使运价回落速度减慢，市场将博弈4月前运价回落幅度，短期或呈现大幅度震荡，建议投资者谨慎进行区间交易。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2481108"/>
      <w:bookmarkStart w:id="49" w:name="_Toc19667"/>
      <w:bookmarkStart w:id="50" w:name="_Toc71212556"/>
      <w:bookmarkStart w:id="51" w:name="_Toc12779"/>
      <w:bookmarkStart w:id="52" w:name="_Toc98426751"/>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2024年1月17日星期三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9B0CE9"/>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9151C86"/>
    <w:rsid w:val="59C52328"/>
    <w:rsid w:val="5AD37D8A"/>
    <w:rsid w:val="5B906095"/>
    <w:rsid w:val="5BF60A75"/>
    <w:rsid w:val="5C9F2D01"/>
    <w:rsid w:val="5D5617A6"/>
    <w:rsid w:val="5EA23F15"/>
    <w:rsid w:val="5EA7685B"/>
    <w:rsid w:val="619A2BBF"/>
    <w:rsid w:val="61DF02D0"/>
    <w:rsid w:val="62710E5F"/>
    <w:rsid w:val="63735B47"/>
    <w:rsid w:val="63FF1EA7"/>
    <w:rsid w:val="64C32497"/>
    <w:rsid w:val="66D04BBC"/>
    <w:rsid w:val="67655BF9"/>
    <w:rsid w:val="67C6389B"/>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2024-01-17T02:49:52Z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